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400"/>
      </w:pPr>
      <w:r>
        <w:rPr>
          <w:b/>
          <w:bCs/>
          <w:color w:val="990000"/>
          <w:sz w:val="20"/>
          <w:szCs w:val="20"/>
        </w:rPr>
        <w:t xml:space="preserve">YOUR MORTGAGE TOOLBOX  |  HOMEOWNERSHIP LEARNING PROGRAM</w:t>
      </w:r>
    </w:p>
    <w:p>
      <w:pPr>
        <w:spacing w:after="80"/>
      </w:pPr>
      <w:r>
        <w:rPr>
          <w:b/>
          <w:bCs/>
          <w:color w:val="990000"/>
          <w:sz w:val="56"/>
          <w:szCs w:val="56"/>
        </w:rPr>
        <w:t xml:space="preserve">Module 9 Facilitator Guide</w:t>
      </w:r>
    </w:p>
    <w:p>
      <w:pPr>
        <w:spacing w:after="200"/>
      </w:pPr>
      <w:r>
        <w:rPr>
          <w:sz w:val="32"/>
          <w:szCs w:val="32"/>
        </w:rPr>
        <w:t xml:space="preserve">Behind on Your Mortgage? Avoiding Foreclosure</w:t>
      </w:r>
    </w:p>
    <w:p>
      <w:pPr>
        <w:spacing w:after="200" w:before="0"/>
      </w:pPr>
      <w:r>
        <w:rPr>
          <w:sz w:val="22"/>
          <w:szCs w:val="22"/>
        </w:rPr>
        <w:t xml:space="preserve">For volunteers, housing counseling agency staff, credit union and nonprofit educators, and anyone teaching this module to a group. Pair this guide with the Module 9 slide deck and the Module 9 consumer workbook.</w:t>
      </w:r>
    </w:p>
    <w:p>
      <w:pPr>
        <w:pStyle w:val="Heading2"/>
        <w:keepNext/>
      </w:pPr>
      <w:r>
        <w:t xml:space="preserve">At a glance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200"/>
        <w:gridCol w:w="7880"/>
      </w:tblGrid>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Audience</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Homeowners who are behind or worried about falling behind, and anyone who wants to know what to do before trouble starts. Part of the post-purchase track (Modules 6 to 9).</w:t>
            </w:r>
          </w:p>
        </w:tc>
      </w:tr>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Format</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Instructor-led group class with slides, discussion cases and individual worksheets. Can be split into two sessions.</w:t>
            </w:r>
          </w:p>
        </w:tc>
      </w:tr>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Length</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About 2 hours 50 minutes including a 10 minute break. Suggested two-session split: Lessons 9.1 and 9.2, then 9.3 to 9.5 and the quiz.</w:t>
            </w:r>
          </w:p>
        </w:tc>
      </w:tr>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Group size</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6 to 25 participants. Smaller groups work better for this topic.</w:t>
            </w:r>
          </w:p>
        </w:tc>
      </w:tr>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Materials</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Printed or digital workbooks, slide deck, projector, pens, sign-in sheet, evaluation forms, a list of local HUD-approved counseling agencies and legal aid offices.</w:t>
            </w:r>
          </w:p>
        </w:tc>
      </w:tr>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Your prep time</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About 2 hours: read this guide, review slides and notes, and verify every item in Appendix H. This module has the highest risk of outdated information.</w:t>
            </w:r>
          </w:p>
        </w:tc>
      </w:tr>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Source content</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Module 9 at yourmortgagetoolbox.com/learn/avoiding-foreclosure/.</w:t>
            </w:r>
          </w:p>
        </w:tc>
      </w:tr>
    </w:tbl>
    <w:p>
      <w:pPr>
        <w:spacing w:after="8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none" w:color="FFFFFF" w:sz="0"/>
              <w:left w:val="single" w:color="990000" w:sz="24"/>
              <w:bottom w:val="none" w:color="FFFFFF" w:sz="0"/>
              <w:right w:val="none" w:color="FFFFFF" w:sz="0"/>
            </w:tcBorders>
            <w:shd w:fill="FDF1F1" w:color="auto" w:val="clear"/>
            <w:tcMar>
              <w:top w:type="dxa" w:w="100"/>
              <w:left w:type="dxa" w:w="180"/>
              <w:bottom w:type="dxa" w:w="100"/>
              <w:right w:type="dxa" w:w="140"/>
            </w:tcMar>
          </w:tcPr>
          <w:p>
            <w:pPr>
              <w:spacing w:after="60"/>
            </w:pPr>
            <w:r>
              <w:rPr>
                <w:b/>
                <w:bCs/>
                <w:color w:val="990000"/>
                <w:sz w:val="21"/>
                <w:szCs w:val="21"/>
              </w:rPr>
              <w:t xml:space="preserve">Verify before every class</w:t>
            </w:r>
          </w:p>
          <w:p>
            <w:pPr>
              <w:spacing w:after="50"/>
            </w:pPr>
            <w:r>
              <w:rPr>
                <w:sz w:val="21"/>
                <w:szCs w:val="21"/>
              </w:rPr>
              <w:t xml:space="preserve">Loss mitigation programs, servicer rules and state foreclosure timelines change often. FHA and VA programs changed in 2025 and 2026. Confirm each item in Appendix H, and replace the Texas slide with your own state's process if you teach elsewhere. This guide is general education, not legal advice.</w:t>
            </w:r>
          </w:p>
        </w:tc>
      </w:tr>
    </w:tbl>
    <w:p>
      <w:r>
        <w:br w:type="page"/>
      </w:r>
    </w:p>
    <w:p>
      <w:pPr>
        <w:pStyle w:val="Heading1"/>
        <w:keepNext/>
      </w:pPr>
      <w:r>
        <w:t xml:space="preserve">Learning objectives</w:t>
      </w:r>
    </w:p>
    <w:p>
      <w:pPr>
        <w:spacing w:after="100" w:before="0"/>
      </w:pPr>
      <w:r>
        <w:rPr>
          <w:sz w:val="22"/>
          <w:szCs w:val="22"/>
        </w:rPr>
        <w:t xml:space="preserve">By the end of this module, participants will be able to:</w:t>
      </w:r>
    </w:p>
    <w:p>
      <w:pPr>
        <w:pStyle w:val="ListParagraph"/>
        <w:numPr>
          <w:ilvl w:val="0"/>
          <w:numId w:val="2"/>
        </w:numPr>
        <w:spacing w:after="60"/>
      </w:pPr>
      <w:r>
        <w:rPr>
          <w:sz w:val="22"/>
          <w:szCs w:val="22"/>
        </w:rPr>
        <w:t xml:space="preserve">Recognize the early warning signs of mortgage trouble and act before a payment is missed.</w:t>
      </w:r>
    </w:p>
    <w:p>
      <w:pPr>
        <w:pStyle w:val="ListParagraph"/>
        <w:numPr>
          <w:ilvl w:val="0"/>
          <w:numId w:val="2"/>
        </w:numPr>
        <w:spacing w:after="60"/>
      </w:pPr>
      <w:r>
        <w:rPr>
          <w:sz w:val="22"/>
          <w:szCs w:val="22"/>
        </w:rPr>
        <w:t xml:space="preserve">Name the first three calls to make, and list the documents to have ready.</w:t>
      </w:r>
    </w:p>
    <w:p>
      <w:pPr>
        <w:pStyle w:val="ListParagraph"/>
        <w:numPr>
          <w:ilvl w:val="0"/>
          <w:numId w:val="2"/>
        </w:numPr>
        <w:spacing w:after="60"/>
      </w:pPr>
      <w:r>
        <w:rPr>
          <w:sz w:val="22"/>
          <w:szCs w:val="22"/>
        </w:rPr>
        <w:t xml:space="preserve">Compare the main loss mitigation options and describe when each fits.</w:t>
      </w:r>
    </w:p>
    <w:p>
      <w:pPr>
        <w:pStyle w:val="ListParagraph"/>
        <w:numPr>
          <w:ilvl w:val="0"/>
          <w:numId w:val="2"/>
        </w:numPr>
        <w:spacing w:after="60"/>
      </w:pPr>
      <w:r>
        <w:rPr>
          <w:sz w:val="22"/>
          <w:szCs w:val="22"/>
        </w:rPr>
        <w:t xml:space="preserve">Describe how options differ for FHA, VA, USDA and conventional loans, and know what to ask a servicer.</w:t>
      </w:r>
    </w:p>
    <w:p>
      <w:pPr>
        <w:pStyle w:val="ListParagraph"/>
        <w:numPr>
          <w:ilvl w:val="0"/>
          <w:numId w:val="2"/>
        </w:numPr>
        <w:spacing w:after="60"/>
      </w:pPr>
      <w:r>
        <w:rPr>
          <w:sz w:val="22"/>
          <w:szCs w:val="22"/>
        </w:rPr>
        <w:t xml:space="preserve">Explain the main federal servicing protections and the basic Texas foreclosure timeline.</w:t>
      </w:r>
    </w:p>
    <w:p>
      <w:pPr>
        <w:pStyle w:val="ListParagraph"/>
        <w:numPr>
          <w:ilvl w:val="0"/>
          <w:numId w:val="2"/>
        </w:numPr>
        <w:spacing w:after="60"/>
      </w:pPr>
      <w:r>
        <w:rPr>
          <w:sz w:val="22"/>
          <w:szCs w:val="22"/>
        </w:rPr>
        <w:t xml:space="preserve">Recognize foreclosure rescue scam red flags and know where to report them.</w:t>
      </w:r>
    </w:p>
    <w:p>
      <w:pPr>
        <w:pStyle w:val="ListParagraph"/>
        <w:numPr>
          <w:ilvl w:val="0"/>
          <w:numId w:val="2"/>
        </w:numPr>
        <w:spacing w:after="60"/>
      </w:pPr>
      <w:r>
        <w:rPr>
          <w:sz w:val="22"/>
          <w:szCs w:val="22"/>
        </w:rPr>
        <w:t xml:space="preserve">Leave with a written action plan and a call log.</w:t>
      </w:r>
    </w:p>
    <w:p>
      <w:pPr>
        <w:pStyle w:val="Heading3"/>
        <w:keepNext/>
      </w:pPr>
      <w:r>
        <w:t xml:space="preserve">Standards alignment</w:t>
      </w:r>
    </w:p>
    <w:p>
      <w:pPr>
        <w:spacing w:after="100" w:before="0"/>
      </w:pPr>
      <w:r>
        <w:rPr>
          <w:sz w:val="22"/>
          <w:szCs w:val="22"/>
        </w:rPr>
        <w:t xml:space="preserve">This module supports the National Industry Standards post-purchase topics on delinquency and default resolution, plus consumer fraud awareness. It is a priority gap identified in the Learn program gap analysis.</w:t>
      </w:r>
    </w:p>
    <w:p>
      <w:pPr>
        <w:pStyle w:val="Heading1"/>
        <w:keepNext/>
      </w:pPr>
      <w:r>
        <w:t xml:space="preserve">Before class</w:t>
      </w:r>
    </w:p>
    <w:p>
      <w:pPr>
        <w:pStyle w:val="Heading3"/>
        <w:keepNext/>
      </w:pPr>
      <w:r>
        <w:t xml:space="preserve">Room and materials checklist</w:t>
      </w:r>
    </w:p>
    <w:p>
      <w:pPr>
        <w:spacing w:after="50"/>
      </w:pPr>
      <w:r>
        <w:rPr>
          <w:sz w:val="22"/>
          <w:szCs w:val="22"/>
        </w:rPr>
        <w:t xml:space="preserve">☐  Slide deck loaded and tested, with speaker notes open on your device</w:t>
      </w:r>
    </w:p>
    <w:p>
      <w:pPr>
        <w:spacing w:after="50"/>
      </w:pPr>
      <w:r>
        <w:rPr>
          <w:sz w:val="22"/>
          <w:szCs w:val="22"/>
        </w:rPr>
        <w:t xml:space="preserve">☐  HOPE Hotline number written on the board: 888-995-HOPE (4673)</w:t>
      </w:r>
    </w:p>
    <w:p>
      <w:pPr>
        <w:spacing w:after="50"/>
      </w:pPr>
      <w:r>
        <w:rPr>
          <w:sz w:val="22"/>
          <w:szCs w:val="22"/>
        </w:rPr>
        <w:t xml:space="preserve">☐  One workbook per participant, printed double-sided or sent as the fillable PDF</w:t>
      </w:r>
    </w:p>
    <w:p>
      <w:pPr>
        <w:spacing w:after="50"/>
      </w:pPr>
      <w:r>
        <w:rPr>
          <w:sz w:val="22"/>
          <w:szCs w:val="22"/>
        </w:rPr>
        <w:t xml:space="preserve">☐  Sign-in sheet, evaluation forms, certificates (Appendices B to D)</w:t>
      </w:r>
    </w:p>
    <w:p>
      <w:pPr>
        <w:spacing w:after="50"/>
      </w:pPr>
      <w:r>
        <w:rPr>
          <w:sz w:val="22"/>
          <w:szCs w:val="22"/>
        </w:rPr>
        <w:t xml:space="preserve">☐  List of local HUD-approved counseling agencies and legal aid offices to hand out</w:t>
      </w:r>
    </w:p>
    <w:p>
      <w:pPr>
        <w:spacing w:after="50"/>
      </w:pPr>
      <w:r>
        <w:rPr>
          <w:sz w:val="22"/>
          <w:szCs w:val="22"/>
        </w:rPr>
        <w:t xml:space="preserve">☐  A quiet space where someone can step out or talk privately</w:t>
      </w:r>
    </w:p>
    <w:p>
      <w:pPr>
        <w:spacing w:after="50"/>
      </w:pPr>
      <w:r>
        <w:rPr>
          <w:sz w:val="22"/>
          <w:szCs w:val="22"/>
        </w:rPr>
        <w:t xml:space="preserve">☐  Tissues. Some participants may be in real distress.</w:t>
      </w:r>
    </w:p>
    <w:p>
      <w:pPr>
        <w:pStyle w:val="Heading1"/>
        <w:keepNext/>
      </w:pPr>
      <w:r>
        <w:t xml:space="preserve">Facilitator ground rules and ethics</w:t>
      </w:r>
    </w:p>
    <w:p>
      <w:pPr>
        <w:spacing w:after="100" w:before="0"/>
      </w:pPr>
      <w:r>
        <w:rPr>
          <w:sz w:val="22"/>
          <w:szCs w:val="22"/>
        </w:rPr>
        <w:t xml:space="preserve">This is a sensitive topic. Participants may be afraid, ashamed or angry. Your tone matters as much as your content.</w:t>
      </w:r>
    </w:p>
    <w:p>
      <w:pPr>
        <w:pStyle w:val="ListParagraph"/>
        <w:numPr>
          <w:ilvl w:val="0"/>
          <w:numId w:val="3"/>
        </w:numPr>
        <w:spacing w:after="50"/>
      </w:pPr>
      <w:r>
        <w:rPr>
          <w:b/>
          <w:bCs/>
          <w:sz w:val="22"/>
          <w:szCs w:val="22"/>
        </w:rPr>
        <w:t xml:space="preserve">You are an educator, not an attorney or advisor.</w:t>
      </w:r>
      <w:r>
        <w:rPr>
          <w:sz w:val="22"/>
          <w:szCs w:val="22"/>
        </w:rPr>
        <w:t xml:space="preserve"> Do not tell anyone which option to take, whether to file bankruptcy, or whether they will keep the home. Explain concepts and refer.</w:t>
      </w:r>
    </w:p>
    <w:p>
      <w:pPr>
        <w:pStyle w:val="ListParagraph"/>
        <w:numPr>
          <w:ilvl w:val="0"/>
          <w:numId w:val="3"/>
        </w:numPr>
        <w:spacing w:after="50"/>
      </w:pPr>
      <w:r>
        <w:rPr>
          <w:b/>
          <w:bCs/>
          <w:sz w:val="22"/>
          <w:szCs w:val="22"/>
        </w:rPr>
        <w:t xml:space="preserve">Do not give legal or tax advice.</w:t>
      </w:r>
      <w:r>
        <w:rPr>
          <w:sz w:val="22"/>
          <w:szCs w:val="22"/>
        </w:rPr>
        <w:t xml:space="preserve"> If a participant describes an active foreclosure notice, encourage them to call the HOPE Hotline and a housing attorney or legal aid office. Mention that forgiven debt can have tax effects and suggest a tax professional.</w:t>
      </w:r>
    </w:p>
    <w:p>
      <w:pPr>
        <w:pStyle w:val="ListParagraph"/>
        <w:numPr>
          <w:ilvl w:val="0"/>
          <w:numId w:val="3"/>
        </w:numPr>
        <w:spacing w:after="50"/>
      </w:pPr>
      <w:r>
        <w:rPr>
          <w:b/>
          <w:bCs/>
          <w:sz w:val="22"/>
          <w:szCs w:val="22"/>
        </w:rPr>
        <w:t xml:space="preserve">Protect privacy.</w:t>
      </w:r>
      <w:r>
        <w:rPr>
          <w:sz w:val="22"/>
          <w:szCs w:val="22"/>
        </w:rPr>
        <w:t xml:space="preserve"> Never ask for loan numbers, Social Security numbers or account numbers. Do not ask anyone to describe their situation in front of the group. Offer to talk privately after class.</w:t>
      </w:r>
    </w:p>
    <w:p>
      <w:pPr>
        <w:pStyle w:val="ListParagraph"/>
        <w:numPr>
          <w:ilvl w:val="0"/>
          <w:numId w:val="3"/>
        </w:numPr>
        <w:spacing w:after="50"/>
      </w:pPr>
      <w:r>
        <w:rPr>
          <w:b/>
          <w:bCs/>
          <w:sz w:val="22"/>
          <w:szCs w:val="22"/>
        </w:rPr>
        <w:t xml:space="preserve">No shame.</w:t>
      </w:r>
      <w:r>
        <w:rPr>
          <w:sz w:val="22"/>
          <w:szCs w:val="22"/>
        </w:rPr>
        <w:t xml:space="preserve"> Say plainly that hardship happens to responsible people and the goal is to act early.</w:t>
      </w:r>
    </w:p>
    <w:p>
      <w:pPr>
        <w:pStyle w:val="ListParagraph"/>
        <w:numPr>
          <w:ilvl w:val="0"/>
          <w:numId w:val="3"/>
        </w:numPr>
        <w:spacing w:after="50"/>
      </w:pPr>
      <w:r>
        <w:rPr>
          <w:b/>
          <w:bCs/>
          <w:sz w:val="22"/>
          <w:szCs w:val="22"/>
        </w:rPr>
        <w:t xml:space="preserve">Do not steer.</w:t>
      </w:r>
      <w:r>
        <w:rPr>
          <w:sz w:val="22"/>
          <w:szCs w:val="22"/>
        </w:rPr>
        <w:t xml:space="preserve"> Do not recommend a specific servicer, lender, attorney or company. Refer to HUD-approved agencies and legal aid.</w:t>
      </w:r>
    </w:p>
    <w:p>
      <w:pPr>
        <w:pStyle w:val="ListParagraph"/>
        <w:numPr>
          <w:ilvl w:val="0"/>
          <w:numId w:val="3"/>
        </w:numPr>
        <w:spacing w:after="50"/>
      </w:pPr>
      <w:r>
        <w:rPr>
          <w:b/>
          <w:bCs/>
          <w:sz w:val="22"/>
          <w:szCs w:val="22"/>
        </w:rPr>
        <w:t xml:space="preserve">Do not promise outcomes.</w:t>
      </w:r>
      <w:r>
        <w:rPr>
          <w:sz w:val="22"/>
          <w:szCs w:val="22"/>
        </w:rPr>
        <w:t xml:space="preserve"> Never say a participant will keep their home or get a modification.</w:t>
      </w:r>
    </w:p>
    <w:p>
      <w:pPr>
        <w:pStyle w:val="ListParagraph"/>
        <w:numPr>
          <w:ilvl w:val="0"/>
          <w:numId w:val="3"/>
        </w:numPr>
        <w:spacing w:after="50"/>
      </w:pPr>
      <w:r>
        <w:rPr>
          <w:b/>
          <w:bCs/>
          <w:sz w:val="22"/>
          <w:szCs w:val="22"/>
        </w:rPr>
        <w:t xml:space="preserve">Treat everyone the same.</w:t>
      </w:r>
      <w:r>
        <w:rPr>
          <w:sz w:val="22"/>
          <w:szCs w:val="22"/>
        </w:rPr>
        <w:t xml:space="preserve"> Offer the same service and courtesy to every participant regardless of race, color, national origin, religion, sex, familial status, disability or any other protected characteristic.</w:t>
      </w:r>
    </w:p>
    <w:p>
      <w:pPr>
        <w:pStyle w:val="ListParagraph"/>
        <w:numPr>
          <w:ilvl w:val="0"/>
          <w:numId w:val="3"/>
        </w:numPr>
        <w:spacing w:after="50"/>
      </w:pPr>
      <w:r>
        <w:rPr>
          <w:b/>
          <w:bCs/>
          <w:sz w:val="22"/>
          <w:szCs w:val="22"/>
        </w:rPr>
        <w:t xml:space="preserve">Watch for scams yourself.</w:t>
      </w:r>
      <w:r>
        <w:rPr>
          <w:sz w:val="22"/>
          <w:szCs w:val="22"/>
        </w:rPr>
        <w:t xml:space="preserve"> Never refer participants to a for-profit "foreclosure help" company. If a participant brings a document from one, tell them to call the HOPE Hotline before signing.</w:t>
      </w:r>
    </w:p>
    <w:p>
      <w:pPr>
        <w:pStyle w:val="ListParagraph"/>
        <w:numPr>
          <w:ilvl w:val="0"/>
          <w:numId w:val="3"/>
        </w:numPr>
        <w:spacing w:after="50"/>
      </w:pPr>
      <w:r>
        <w:rPr>
          <w:b/>
          <w:bCs/>
          <w:sz w:val="22"/>
          <w:szCs w:val="22"/>
        </w:rPr>
        <w:t xml:space="preserve">Be ready for distress.</w:t>
      </w:r>
      <w:r>
        <w:rPr>
          <w:sz w:val="22"/>
          <w:szCs w:val="22"/>
        </w:rPr>
        <w:t xml:space="preserve"> If a participant expresses hopelessness or thoughts of self-harm, stay calm and kind and encourage them to call or text 988, the Suicide and Crisis Lifeline.</w:t>
      </w:r>
    </w:p>
    <w:p>
      <w:r>
        <w:br w:type="page"/>
      </w:r>
    </w:p>
    <w:p>
      <w:pPr>
        <w:pStyle w:val="Heading1"/>
        <w:keepNext/>
      </w:pPr>
      <w:r>
        <w:t xml:space="preserve">Agenda at a glance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100"/>
        <w:gridCol w:w="4500"/>
        <w:gridCol w:w="1300"/>
        <w:gridCol w:w="3180"/>
      </w:tblGrid>
      <w:tr>
        <w:trPr>
          <w:tblHeader/>
        </w:trPr>
        <w:tc>
          <w:tcPr>
            <w:tcW w:type="dxa" w:w="11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Min</w:t>
            </w:r>
          </w:p>
        </w:tc>
        <w:tc>
          <w:tcPr>
            <w:tcW w:type="dxa" w:w="45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Segment</w:t>
            </w:r>
          </w:p>
        </w:tc>
        <w:tc>
          <w:tcPr>
            <w:tcW w:type="dxa" w:w="13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Slides</w:t>
            </w:r>
          </w:p>
        </w:tc>
        <w:tc>
          <w:tcPr>
            <w:tcW w:type="dxa" w:w="318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Workbook</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Welcome, ground rules, pre-class survey</w:t>
            </w:r>
          </w:p>
        </w:tc>
        <w:tc>
          <w:tcPr>
            <w:tcW w:type="dxa" w:w="13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 to 4</w:t>
            </w:r>
          </w:p>
        </w:tc>
        <w:tc>
          <w:tcPr>
            <w:tcW w:type="dxa" w:w="3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Cover page</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Lesson 9.1: Warning signs and first calls</w:t>
            </w:r>
          </w:p>
        </w:tc>
        <w:tc>
          <w:tcPr>
            <w:tcW w:type="dxa" w:w="13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5 to 7</w:t>
            </w:r>
          </w:p>
        </w:tc>
        <w:tc>
          <w:tcPr>
            <w:tcW w:type="dxa" w:w="3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Worksheet A (page 2)</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Lesson 9.2: Loss mitigation options</w:t>
            </w:r>
          </w:p>
        </w:tc>
        <w:tc>
          <w:tcPr>
            <w:tcW w:type="dxa" w:w="13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8 to 10</w:t>
            </w:r>
          </w:p>
        </w:tc>
        <w:tc>
          <w:tcPr>
            <w:tcW w:type="dxa" w:w="3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Worksheet B (page 3)</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Break</w:t>
            </w:r>
          </w:p>
        </w:tc>
        <w:tc>
          <w:tcPr>
            <w:tcW w:type="dxa" w:w="13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p>
        </w:tc>
        <w:tc>
          <w:tcPr>
            <w:tcW w:type="dxa" w:w="3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25</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Lesson 9.3: What each loan type offers</w:t>
            </w:r>
          </w:p>
        </w:tc>
        <w:tc>
          <w:tcPr>
            <w:tcW w:type="dxa" w:w="13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11 to 12</w:t>
            </w:r>
          </w:p>
        </w:tc>
        <w:tc>
          <w:tcPr>
            <w:tcW w:type="dxa" w:w="3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Worksheet C (page 4)</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Lesson 9.4: Timeline and legal protections</w:t>
            </w:r>
          </w:p>
        </w:tc>
        <w:tc>
          <w:tcPr>
            <w:tcW w:type="dxa" w:w="13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13 to 15</w:t>
            </w:r>
          </w:p>
        </w:tc>
        <w:tc>
          <w:tcPr>
            <w:tcW w:type="dxa" w:w="3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Worksheet D (page 5)</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20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Lesson 9.5: Foreclosure rescue scams</w:t>
            </w:r>
          </w:p>
        </w:tc>
        <w:tc>
          <w:tcPr>
            <w:tcW w:type="dxa" w:w="13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16 to 18</w:t>
            </w:r>
          </w:p>
        </w:tc>
        <w:tc>
          <w:tcPr>
            <w:tcW w:type="dxa" w:w="3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Worksheet E (page 6)</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Self-check quiz</w:t>
            </w:r>
          </w:p>
        </w:tc>
        <w:tc>
          <w:tcPr>
            <w:tcW w:type="dxa" w:w="13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19</w:t>
            </w:r>
          </w:p>
        </w:tc>
        <w:tc>
          <w:tcPr>
            <w:tcW w:type="dxa" w:w="3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Quiz (page 7)</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15</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Action plan, wrap-up, evaluations, certificates</w:t>
            </w:r>
          </w:p>
        </w:tc>
        <w:tc>
          <w:tcPr>
            <w:tcW w:type="dxa" w:w="13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20 to 21</w:t>
            </w:r>
          </w:p>
        </w:tc>
        <w:tc>
          <w:tcPr>
            <w:tcW w:type="dxa" w:w="3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Action plan (page 8)</w:t>
            </w:r>
          </w:p>
        </w:tc>
      </w:tr>
    </w:tbl>
    <w:p>
      <w:pPr>
        <w:spacing w:after="100" w:before="120"/>
      </w:pPr>
      <w:r>
        <w:rPr>
          <w:sz w:val="22"/>
          <w:szCs w:val="22"/>
        </w:rPr>
        <w:t xml:space="preserve">Total: 170 minutes. If you only have two hours, teach 9.1, 9.2 and 9.5 live and assign 9.3 and 9.4 as homework.</w:t>
      </w:r>
    </w:p>
    <w:p>
      <w:pPr>
        <w:pStyle w:val="Heading1"/>
        <w:keepNext/>
      </w:pPr>
      <w:r>
        <w:t xml:space="preserve">Welcome and setup (10 minutes)</w:t>
      </w:r>
    </w:p>
    <w:p>
      <w:pPr>
        <w:pStyle w:val="ListParagraph"/>
        <w:numPr>
          <w:ilvl w:val="0"/>
          <w:numId w:val="4"/>
        </w:numPr>
        <w:spacing w:after="60"/>
      </w:pPr>
      <w:r>
        <w:rPr>
          <w:sz w:val="22"/>
          <w:szCs w:val="22"/>
        </w:rPr>
        <w:t xml:space="preserve">Greet participants at the door. Hand out the workbook and the pre-class survey (Appendix A). Have them sign in.</w:t>
      </w:r>
    </w:p>
    <w:p>
      <w:pPr>
        <w:pStyle w:val="ListParagraph"/>
        <w:numPr>
          <w:ilvl w:val="0"/>
          <w:numId w:val="4"/>
        </w:numPr>
        <w:spacing w:after="60"/>
      </w:pPr>
      <w:r>
        <w:rPr>
          <w:sz w:val="22"/>
          <w:szCs w:val="22"/>
        </w:rPr>
        <w:t xml:space="preserve">Introduce yourself. State plainly that you are an educator, not an attorney or lender, and that you will not ask anyone to share their personal details.</w:t>
      </w:r>
    </w:p>
    <w:p>
      <w:pPr>
        <w:pStyle w:val="ListParagraph"/>
        <w:numPr>
          <w:ilvl w:val="0"/>
          <w:numId w:val="4"/>
        </w:numPr>
        <w:spacing w:after="60"/>
      </w:pPr>
      <w:r>
        <w:rPr>
          <w:sz w:val="22"/>
          <w:szCs w:val="22"/>
        </w:rPr>
        <w:t xml:space="preserve">Write the HOPE Hotline number on the board and ask everyone to save it in their phone now.</w:t>
      </w:r>
    </w:p>
    <w:p>
      <w:pPr>
        <w:pStyle w:val="ListParagraph"/>
        <w:numPr>
          <w:ilvl w:val="0"/>
          <w:numId w:val="4"/>
        </w:numPr>
        <w:spacing w:after="60"/>
      </w:pPr>
      <w:r>
        <w:rPr>
          <w:sz w:val="22"/>
          <w:szCs w:val="22"/>
        </w:rPr>
        <w:t xml:space="preserve">Set ground rules: no shame, no loan numbers, private questions after class.</w:t>
      </w:r>
    </w:p>
    <w:p>
      <w:pPr>
        <w:pStyle w:val="ListParagraph"/>
        <w:numPr>
          <w:ilvl w:val="0"/>
          <w:numId w:val="4"/>
        </w:numPr>
        <w:spacing w:after="60"/>
      </w:pPr>
      <w:r>
        <w:rPr>
          <w:sz w:val="22"/>
          <w:szCs w:val="22"/>
        </w:rPr>
        <w:t xml:space="preserve">Show the objectives and the lesson list. Point out the matching workbook worksheets.</w:t>
      </w:r>
    </w:p>
    <w:p>
      <w:r>
        <w:br w:type="page"/>
      </w:r>
    </w:p>
    <w:p>
      <w:pPr>
        <w:pStyle w:val="Heading2"/>
        <w:keepNext/>
      </w:pPr>
      <w:r>
        <w:t xml:space="preserve">Lesson 9.1: Early Warning Signs and Your First Three Calls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900"/>
        <w:gridCol w:w="8180"/>
      </w:tblGrid>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Time</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30 minutes</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Slides</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Slides 5 to 7</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Workbook</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Worksheet A: Risk check and call log (page 2)</w:t>
            </w:r>
          </w:p>
        </w:tc>
      </w:tr>
    </w:tbl>
    <w:p>
      <w:pPr>
        <w:spacing w:after="80"/>
      </w:pPr>
    </w:p>
    <w:p>
      <w:pPr>
        <w:pStyle w:val="Heading3"/>
        <w:keepNext/>
      </w:pPr>
      <w:r>
        <w:t xml:space="preserve">Key points</w:t>
      </w:r>
    </w:p>
    <w:p>
      <w:pPr>
        <w:pStyle w:val="ListParagraph"/>
        <w:numPr>
          <w:ilvl w:val="0"/>
          <w:numId w:val="3"/>
        </w:numPr>
        <w:spacing w:after="50"/>
      </w:pPr>
      <w:r>
        <w:rPr>
          <w:sz w:val="22"/>
          <w:szCs w:val="22"/>
        </w:rPr>
        <w:t xml:space="preserve">Hardship usually starts with a job loss, cut in hours, medical bill, divorce, death, or a payment that rose because of taxes or insurance.</w:t>
      </w:r>
    </w:p>
    <w:p>
      <w:pPr>
        <w:pStyle w:val="ListParagraph"/>
        <w:numPr>
          <w:ilvl w:val="0"/>
          <w:numId w:val="3"/>
        </w:numPr>
        <w:spacing w:after="50"/>
      </w:pPr>
      <w:r>
        <w:rPr>
          <w:sz w:val="22"/>
          <w:szCs w:val="22"/>
        </w:rPr>
        <w:t xml:space="preserve">The mistake that costs homes is waiting and not calling anyone. Servicers have more options for a borrower who is current or one payment behind than for one who is five behind.</w:t>
      </w:r>
    </w:p>
    <w:p>
      <w:pPr>
        <w:pStyle w:val="ListParagraph"/>
        <w:numPr>
          <w:ilvl w:val="0"/>
          <w:numId w:val="3"/>
        </w:numPr>
        <w:spacing w:after="50"/>
      </w:pPr>
      <w:r>
        <w:rPr>
          <w:sz w:val="22"/>
          <w:szCs w:val="22"/>
        </w:rPr>
        <w:t xml:space="preserve">Warning signs: using credit cards or payday loans to pay the mortgage, paying late more than once, an escrow increase coming, less than a month of savings with income down, an adjustable rate about to reset, or choosing between the mortgage and food or medicine.</w:t>
      </w:r>
    </w:p>
    <w:p>
      <w:pPr>
        <w:pStyle w:val="ListParagraph"/>
        <w:numPr>
          <w:ilvl w:val="0"/>
          <w:numId w:val="3"/>
        </w:numPr>
        <w:spacing w:after="50"/>
      </w:pPr>
      <w:r>
        <w:rPr>
          <w:sz w:val="22"/>
          <w:szCs w:val="22"/>
        </w:rPr>
        <w:t xml:space="preserve">First three calls: a HUD-approved counselor (888-995-4673, free), the servicer (ask for loss mitigation), and a housing attorney or legal aid if a foreclosure notice has arrived.</w:t>
      </w:r>
    </w:p>
    <w:p>
      <w:pPr>
        <w:pStyle w:val="ListParagraph"/>
        <w:numPr>
          <w:ilvl w:val="0"/>
          <w:numId w:val="3"/>
        </w:numPr>
        <w:spacing w:after="50"/>
      </w:pPr>
      <w:r>
        <w:rPr>
          <w:sz w:val="22"/>
          <w:szCs w:val="22"/>
        </w:rPr>
        <w:t xml:space="preserve">The servicer is the company you pay. It may not be the company that made the loan.</w:t>
      </w:r>
    </w:p>
    <w:p>
      <w:pPr>
        <w:pStyle w:val="ListParagraph"/>
        <w:numPr>
          <w:ilvl w:val="0"/>
          <w:numId w:val="3"/>
        </w:numPr>
        <w:spacing w:after="50"/>
      </w:pPr>
      <w:r>
        <w:rPr>
          <w:sz w:val="22"/>
          <w:szCs w:val="22"/>
        </w:rPr>
        <w:t xml:space="preserve">Gather: two mortgage statements, proof of income, two bank statements, an expense list, a short hardship explanation, and every letter from the servicer.</w:t>
      </w:r>
    </w:p>
    <w:p>
      <w:pPr>
        <w:pStyle w:val="ListParagraph"/>
        <w:numPr>
          <w:ilvl w:val="0"/>
          <w:numId w:val="3"/>
        </w:numPr>
        <w:spacing w:after="50"/>
      </w:pPr>
      <w:r>
        <w:rPr>
          <w:sz w:val="22"/>
          <w:szCs w:val="22"/>
        </w:rPr>
        <w:t xml:space="preserve">Open the mail. Notices carry deadlines.</w:t>
      </w:r>
    </w:p>
    <w:p>
      <w:pPr>
        <w:pStyle w:val="Heading3"/>
        <w:keepNext/>
      </w:pPr>
      <w:r>
        <w:t xml:space="preserve">Talk track</w:t>
      </w:r>
    </w:p>
    <w:p>
      <w:pPr>
        <w:spacing w:after="100" w:before="0"/>
      </w:pPr>
      <w:r>
        <w:rPr>
          <w:i/>
          <w:iCs/>
          <w:sz w:val="22"/>
          <w:szCs w:val="22"/>
        </w:rPr>
        <w:t xml:space="preserve">"Nobody plans to miss a payment. The people who keep their homes are usually the ones who called early. The people who lose them often waited, hoping it would fix itself. Today is about calling early."</w:t>
      </w:r>
    </w:p>
    <w:p>
      <w:pPr>
        <w:pStyle w:val="Heading3"/>
        <w:keepNext/>
      </w:pPr>
      <w:r>
        <w:t xml:space="preserve">Activity: Risk check (5 minutes, silent)</w:t>
      </w:r>
    </w:p>
    <w:p>
      <w:pPr>
        <w:spacing w:after="100" w:before="0"/>
      </w:pPr>
      <w:r>
        <w:rPr>
          <w:sz w:val="22"/>
          <w:szCs w:val="22"/>
        </w:rPr>
        <w:t xml:space="preserve">Participants complete the Worksheet A risk check on page 2 privately. No sharing required. Afterward ask: "Without telling me your answers, how many of you saw at least one item that surprised you?"</w:t>
      </w:r>
    </w:p>
    <w:p>
      <w:pPr>
        <w:pStyle w:val="Heading3"/>
        <w:keepNext/>
      </w:pPr>
      <w:r>
        <w:t xml:space="preserve">Activity: Practice the servicer call (10 minutes)</w:t>
      </w:r>
    </w:p>
    <w:p>
      <w:pPr>
        <w:spacing w:after="100" w:before="0"/>
      </w:pPr>
      <w:r>
        <w:rPr>
          <w:sz w:val="22"/>
          <w:szCs w:val="22"/>
        </w:rPr>
        <w:t xml:space="preserve">Pairs role-play. One is the homeowner, one is the servicer. The homeowner states a hardship in two sentences, asks for loss mitigation, and asks what options exist. The servicer says they will send an application. The homeowner asks for the deadline, a point of contact and written confirmation, and writes each in the call log on page 2. Swap roles.</w:t>
      </w:r>
    </w:p>
    <w:p>
      <w:pPr>
        <w:pStyle w:val="Heading3"/>
        <w:keepNext/>
      </w:pPr>
      <w:r>
        <w:t xml:space="preserve">Discussion questions</w:t>
      </w:r>
    </w:p>
    <w:p>
      <w:pPr>
        <w:pStyle w:val="ListParagraph"/>
        <w:numPr>
          <w:ilvl w:val="0"/>
          <w:numId w:val="3"/>
        </w:numPr>
        <w:spacing w:after="50"/>
      </w:pPr>
      <w:r>
        <w:rPr>
          <w:sz w:val="22"/>
          <w:szCs w:val="22"/>
        </w:rPr>
        <w:t xml:space="preserve">"What stops people from calling their servicer early?"</w:t>
      </w:r>
    </w:p>
    <w:p>
      <w:pPr>
        <w:pStyle w:val="ListParagraph"/>
        <w:numPr>
          <w:ilvl w:val="0"/>
          <w:numId w:val="3"/>
        </w:numPr>
        <w:spacing w:after="50"/>
      </w:pPr>
      <w:r>
        <w:rPr>
          <w:sz w:val="22"/>
          <w:szCs w:val="22"/>
        </w:rPr>
        <w:t xml:space="preserve">"What would you want to have ready before you pick up the phone?"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none" w:color="FFFFFF" w:sz="0"/>
              <w:left w:val="single" w:color="990000" w:sz="24"/>
              <w:bottom w:val="none" w:color="FFFFFF" w:sz="0"/>
              <w:right w:val="none" w:color="FFFFFF" w:sz="0"/>
            </w:tcBorders>
            <w:shd w:fill="FDF1F1" w:color="auto" w:val="clear"/>
            <w:tcMar>
              <w:top w:type="dxa" w:w="100"/>
              <w:left w:type="dxa" w:w="180"/>
              <w:bottom w:type="dxa" w:w="100"/>
              <w:right w:type="dxa" w:w="140"/>
            </w:tcMar>
          </w:tcPr>
          <w:p>
            <w:pPr>
              <w:spacing w:after="60"/>
            </w:pPr>
            <w:r>
              <w:rPr>
                <w:b/>
                <w:bCs/>
                <w:color w:val="990000"/>
                <w:sz w:val="21"/>
                <w:szCs w:val="21"/>
              </w:rPr>
              <w:t xml:space="preserve">Facilitator note</w:t>
            </w:r>
          </w:p>
          <w:p>
            <w:pPr>
              <w:spacing w:after="50"/>
            </w:pPr>
            <w:r>
              <w:rPr>
                <w:sz w:val="21"/>
                <w:szCs w:val="21"/>
              </w:rPr>
              <w:t xml:space="preserve">Someone in the room may be dealing with this right now. Keep your tone steady and kind. Offer to speak privately after class and have the HOPE Hotline number visible.</w:t>
            </w:r>
          </w:p>
        </w:tc>
      </w:tr>
    </w:tbl>
    <w:p>
      <w:r>
        <w:br w:type="page"/>
      </w:r>
    </w:p>
    <w:p>
      <w:pPr>
        <w:pStyle w:val="Heading2"/>
        <w:keepNext/>
      </w:pPr>
      <w:r>
        <w:t xml:space="preserve">Lesson 9.2: Loss Mitigation Options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900"/>
        <w:gridCol w:w="8180"/>
      </w:tblGrid>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Time</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30 minutes</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Slides</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Slides 8 to 10</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Workbook</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Worksheet B: Options comparison (page 3)</w:t>
            </w:r>
          </w:p>
        </w:tc>
      </w:tr>
    </w:tbl>
    <w:p>
      <w:pPr>
        <w:spacing w:after="80"/>
      </w:pPr>
    </w:p>
    <w:p>
      <w:pPr>
        <w:pStyle w:val="Heading3"/>
        <w:keepNext/>
      </w:pPr>
      <w:r>
        <w:t xml:space="preserve">Key points</w:t>
      </w:r>
    </w:p>
    <w:p>
      <w:pPr>
        <w:pStyle w:val="ListParagraph"/>
        <w:numPr>
          <w:ilvl w:val="0"/>
          <w:numId w:val="3"/>
        </w:numPr>
        <w:spacing w:after="50"/>
      </w:pPr>
      <w:r>
        <w:rPr>
          <w:sz w:val="22"/>
          <w:szCs w:val="22"/>
        </w:rPr>
        <w:t xml:space="preserve">Loss mitigation is the industry word for the ways a servicer can help a borrower who has fallen behind.</w:t>
      </w:r>
    </w:p>
    <w:p>
      <w:pPr>
        <w:pStyle w:val="ListParagraph"/>
        <w:numPr>
          <w:ilvl w:val="0"/>
          <w:numId w:val="3"/>
        </w:numPr>
        <w:spacing w:after="50"/>
      </w:pPr>
      <w:r>
        <w:rPr>
          <w:b/>
          <w:bCs/>
          <w:sz w:val="22"/>
          <w:szCs w:val="22"/>
        </w:rPr>
        <w:t xml:space="preserve">Forbearance:</w:t>
      </w:r>
      <w:r>
        <w:rPr>
          <w:sz w:val="22"/>
          <w:szCs w:val="22"/>
        </w:rPr>
        <w:t xml:space="preserve"> payments reduced or paused for a set time. Not forgiveness. Missed amounts are still owed, and a plan is needed to repay them.</w:t>
      </w:r>
    </w:p>
    <w:p>
      <w:pPr>
        <w:pStyle w:val="ListParagraph"/>
        <w:numPr>
          <w:ilvl w:val="0"/>
          <w:numId w:val="3"/>
        </w:numPr>
        <w:spacing w:after="50"/>
      </w:pPr>
      <w:r>
        <w:rPr>
          <w:b/>
          <w:bCs/>
          <w:sz w:val="22"/>
          <w:szCs w:val="22"/>
        </w:rPr>
        <w:t xml:space="preserve">Repayment plan:</w:t>
      </w:r>
      <w:r>
        <w:rPr>
          <w:sz w:val="22"/>
          <w:szCs w:val="22"/>
        </w:rPr>
        <w:t xml:space="preserve"> regular payment plus an extra amount until caught up.</w:t>
      </w:r>
    </w:p>
    <w:p>
      <w:pPr>
        <w:pStyle w:val="ListParagraph"/>
        <w:numPr>
          <w:ilvl w:val="0"/>
          <w:numId w:val="3"/>
        </w:numPr>
        <w:spacing w:after="50"/>
      </w:pPr>
      <w:r>
        <w:rPr>
          <w:b/>
          <w:bCs/>
          <w:sz w:val="22"/>
          <w:szCs w:val="22"/>
        </w:rPr>
        <w:t xml:space="preserve">Reinstatement:</w:t>
      </w:r>
      <w:r>
        <w:rPr>
          <w:sz w:val="22"/>
          <w:szCs w:val="22"/>
        </w:rPr>
        <w:t xml:space="preserve"> pay the full past-due amount at once, including fees.</w:t>
      </w:r>
    </w:p>
    <w:p>
      <w:pPr>
        <w:pStyle w:val="ListParagraph"/>
        <w:numPr>
          <w:ilvl w:val="0"/>
          <w:numId w:val="3"/>
        </w:numPr>
        <w:spacing w:after="50"/>
      </w:pPr>
      <w:r>
        <w:rPr>
          <w:b/>
          <w:bCs/>
          <w:sz w:val="22"/>
          <w:szCs w:val="22"/>
        </w:rPr>
        <w:t xml:space="preserve">Payment deferral or partial claim:</w:t>
      </w:r>
      <w:r>
        <w:rPr>
          <w:sz w:val="22"/>
          <w:szCs w:val="22"/>
        </w:rPr>
        <w:t xml:space="preserve"> the past-due amount moves to a separate balance, usually with no interest, repaid at sale, refinance or payoff. The regular payment stays the same.</w:t>
      </w:r>
    </w:p>
    <w:p>
      <w:pPr>
        <w:pStyle w:val="ListParagraph"/>
        <w:numPr>
          <w:ilvl w:val="0"/>
          <w:numId w:val="3"/>
        </w:numPr>
        <w:spacing w:after="50"/>
      </w:pPr>
      <w:r>
        <w:rPr>
          <w:b/>
          <w:bCs/>
          <w:sz w:val="22"/>
          <w:szCs w:val="22"/>
        </w:rPr>
        <w:t xml:space="preserve">Loan modification:</w:t>
      </w:r>
      <w:r>
        <w:rPr>
          <w:sz w:val="22"/>
          <w:szCs w:val="22"/>
        </w:rPr>
        <w:t xml:space="preserve"> permanent change to the loan terms such as a lower rate, a longer term (sometimes up to 40 years), or part of the balance moved to the end of the loan. For hardships that are not going away.</w:t>
      </w:r>
    </w:p>
    <w:p>
      <w:pPr>
        <w:pStyle w:val="ListParagraph"/>
        <w:numPr>
          <w:ilvl w:val="0"/>
          <w:numId w:val="3"/>
        </w:numPr>
        <w:spacing w:after="50"/>
      </w:pPr>
      <w:r>
        <w:rPr>
          <w:b/>
          <w:bCs/>
          <w:sz w:val="22"/>
          <w:szCs w:val="22"/>
        </w:rPr>
        <w:t xml:space="preserve">Short sale:</w:t>
      </w:r>
      <w:r>
        <w:rPr>
          <w:sz w:val="22"/>
          <w:szCs w:val="22"/>
        </w:rPr>
        <w:t xml:space="preserve"> sale for less than owed, with servicer approval. Usually less damaging to credit than foreclosure.</w:t>
      </w:r>
    </w:p>
    <w:p>
      <w:pPr>
        <w:pStyle w:val="ListParagraph"/>
        <w:numPr>
          <w:ilvl w:val="0"/>
          <w:numId w:val="3"/>
        </w:numPr>
        <w:spacing w:after="50"/>
      </w:pPr>
      <w:r>
        <w:rPr>
          <w:b/>
          <w:bCs/>
          <w:sz w:val="22"/>
          <w:szCs w:val="22"/>
        </w:rPr>
        <w:t xml:space="preserve">Deed in lieu:</w:t>
      </w:r>
      <w:r>
        <w:rPr>
          <w:sz w:val="22"/>
          <w:szCs w:val="22"/>
        </w:rPr>
        <w:t xml:space="preserve"> voluntary handback of the property. Generally quicker and quieter than foreclosure.</w:t>
      </w:r>
    </w:p>
    <w:p>
      <w:pPr>
        <w:pStyle w:val="ListParagraph"/>
        <w:numPr>
          <w:ilvl w:val="0"/>
          <w:numId w:val="3"/>
        </w:numPr>
        <w:spacing w:after="50"/>
      </w:pPr>
      <w:r>
        <w:rPr>
          <w:sz w:val="22"/>
          <w:szCs w:val="22"/>
        </w:rPr>
        <w:t xml:space="preserve">Questions for every option: What will my payment be? What will I owe at the end? What does it do to my credit? How long does it last? Do I owe taxes on forgiven debt? Get answers in writing.</w:t>
      </w:r>
    </w:p>
    <w:p>
      <w:pPr>
        <w:pStyle w:val="ListParagraph"/>
        <w:numPr>
          <w:ilvl w:val="0"/>
          <w:numId w:val="3"/>
        </w:numPr>
        <w:spacing w:after="50"/>
      </w:pPr>
      <w:r>
        <w:rPr>
          <w:sz w:val="22"/>
          <w:szCs w:val="22"/>
        </w:rPr>
        <w:t xml:space="preserve">Selling while there is equity is often better than foreclosure. The Net Proceeds Calculator helps estimate it.</w:t>
      </w:r>
    </w:p>
    <w:p>
      <w:pPr>
        <w:pStyle w:val="Heading3"/>
        <w:keepNext/>
      </w:pPr>
      <w:r>
        <w:t xml:space="preserve">Talk track</w:t>
      </w:r>
    </w:p>
    <w:p>
      <w:pPr>
        <w:spacing w:after="100" w:before="0"/>
      </w:pPr>
      <w:r>
        <w:rPr>
          <w:i/>
          <w:iCs/>
          <w:sz w:val="22"/>
          <w:szCs w:val="22"/>
        </w:rPr>
        <w:t xml:space="preserve">"Every option works better the earlier you ask for it. A servicer will rarely offer one on its own. You usually have to ask, and you have to send the documents, on time."</w:t>
      </w:r>
    </w:p>
    <w:p>
      <w:pPr>
        <w:pStyle w:val="Heading3"/>
        <w:keepNext/>
      </w:pPr>
      <w:r>
        <w:t xml:space="preserve">Activity: Match the option (10 minutes)</w:t>
      </w:r>
    </w:p>
    <w:p>
      <w:pPr>
        <w:spacing w:after="100" w:before="0"/>
      </w:pPr>
      <w:r>
        <w:rPr>
          <w:sz w:val="22"/>
          <w:szCs w:val="22"/>
        </w:rPr>
        <w:t xml:space="preserve">Pairs read four cases and name the best-fitting option and why. Reinforce that these are discussion cases, not advice.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800"/>
        <w:gridCol w:w="4400"/>
        <w:gridCol w:w="4880"/>
      </w:tblGrid>
      <w:tr>
        <w:trPr>
          <w:tblHeader/>
        </w:trPr>
        <w:tc>
          <w:tcPr>
            <w:tcW w:type="dxa" w:w="8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Case</w:t>
            </w:r>
          </w:p>
        </w:tc>
        <w:tc>
          <w:tcPr>
            <w:tcW w:type="dxa" w:w="44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Scenario</w:t>
            </w:r>
          </w:p>
        </w:tc>
        <w:tc>
          <w:tcPr>
            <w:tcW w:type="dxa" w:w="488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Likely best fit</w:t>
            </w:r>
          </w:p>
        </w:tc>
      </w:tr>
      <w:tr>
        <w:trPr>
          <w:cantSplit/>
        </w:trPr>
        <w:tc>
          <w:tcPr>
            <w:tcW w:type="dxa" w:w="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w:t>
            </w:r>
          </w:p>
        </w:tc>
        <w:tc>
          <w:tcPr>
            <w:tcW w:type="dxa" w:w="44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Maria had surgery and lost two weeks of pay. She returns to full pay next month.</w:t>
            </w:r>
          </w:p>
        </w:tc>
        <w:tc>
          <w:tcPr>
            <w:tcW w:type="dxa" w:w="4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Forbearance or repayment plan. Temporary hardship, income recovering.</w:t>
            </w:r>
          </w:p>
        </w:tc>
      </w:tr>
      <w:tr>
        <w:trPr>
          <w:cantSplit/>
        </w:trPr>
        <w:tc>
          <w:tcPr>
            <w:tcW w:type="dxa" w:w="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2</w:t>
            </w:r>
          </w:p>
        </w:tc>
        <w:tc>
          <w:tcPr>
            <w:tcW w:type="dxa" w:w="44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Tom was laid off. His new job pays 30% less, permanently.</w:t>
            </w:r>
          </w:p>
        </w:tc>
        <w:tc>
          <w:tcPr>
            <w:tcW w:type="dxa" w:w="4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Modification, because the hardship is not going away. If still unaffordable, discuss short sale or deed in lieu with a counselor.</w:t>
            </w:r>
          </w:p>
        </w:tc>
      </w:tr>
      <w:tr>
        <w:trPr>
          <w:cantSplit/>
        </w:trPr>
        <w:tc>
          <w:tcPr>
            <w:tcW w:type="dxa" w:w="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w:t>
            </w:r>
          </w:p>
        </w:tc>
        <w:tc>
          <w:tcPr>
            <w:tcW w:type="dxa" w:w="44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Dana is three payments behind and just received a large tax refund.</w:t>
            </w:r>
          </w:p>
        </w:tc>
        <w:tc>
          <w:tcPr>
            <w:tcW w:type="dxa" w:w="4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Reinstatement, if the refund covers the past-due amount and fees.</w:t>
            </w:r>
          </w:p>
        </w:tc>
      </w:tr>
      <w:tr>
        <w:trPr>
          <w:cantSplit/>
        </w:trPr>
        <w:tc>
          <w:tcPr>
            <w:tcW w:type="dxa" w:w="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4</w:t>
            </w:r>
          </w:p>
        </w:tc>
        <w:tc>
          <w:tcPr>
            <w:tcW w:type="dxa" w:w="44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A divorced couple cannot afford the home alone. They have equity.</w:t>
            </w:r>
          </w:p>
        </w:tc>
        <w:tc>
          <w:tcPr>
            <w:tcW w:type="dxa" w:w="4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Selling, ideally before foreclosure, to keep the equity.</w:t>
            </w:r>
          </w:p>
        </w:tc>
      </w:tr>
    </w:tbl>
    <w:p>
      <w:pPr>
        <w:spacing w:after="80"/>
      </w:pPr>
    </w:p>
    <w:p>
      <w:pPr>
        <w:pStyle w:val="Heading3"/>
        <w:keepNext/>
      </w:pPr>
      <w:r>
        <w:t xml:space="preserve">Discussion questions</w:t>
      </w:r>
    </w:p>
    <w:p>
      <w:pPr>
        <w:pStyle w:val="ListParagraph"/>
        <w:numPr>
          <w:ilvl w:val="0"/>
          <w:numId w:val="3"/>
        </w:numPr>
        <w:spacing w:after="50"/>
      </w:pPr>
      <w:r>
        <w:rPr>
          <w:sz w:val="22"/>
          <w:szCs w:val="22"/>
        </w:rPr>
        <w:t xml:space="preserve">"Why is a forbearance not the same as forgiveness?"</w:t>
      </w:r>
    </w:p>
    <w:p>
      <w:pPr>
        <w:pStyle w:val="ListParagraph"/>
        <w:numPr>
          <w:ilvl w:val="0"/>
          <w:numId w:val="3"/>
        </w:numPr>
        <w:spacing w:after="50"/>
      </w:pPr>
      <w:r>
        <w:rPr>
          <w:sz w:val="22"/>
          <w:szCs w:val="22"/>
        </w:rPr>
        <w:t xml:space="preserve">"What is the downside of waiting on a short sale until the sale date is close?"</w:t>
      </w:r>
    </w:p>
    <w:p>
      <w:r>
        <w:br w:type="page"/>
      </w:r>
    </w:p>
    <w:p>
      <w:pPr>
        <w:pStyle w:val="Heading2"/>
        <w:keepNext/>
      </w:pPr>
      <w:r>
        <w:t xml:space="preserve">Lesson 9.3: What Each Loan Type Offers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900"/>
        <w:gridCol w:w="8180"/>
      </w:tblGrid>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Time</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25 minutes</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Slides</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Slides 11 to 12</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Workbook</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Worksheet C: My loan profile (page 4)</w:t>
            </w:r>
          </w:p>
        </w:tc>
      </w:tr>
    </w:tbl>
    <w:p>
      <w:pPr>
        <w:spacing w:after="80"/>
      </w:pPr>
    </w:p>
    <w:p>
      <w:pPr>
        <w:pStyle w:val="Heading3"/>
        <w:keepNext/>
      </w:pPr>
      <w:r>
        <w:t xml:space="preserve">Key points</w:t>
      </w:r>
    </w:p>
    <w:p>
      <w:pPr>
        <w:pStyle w:val="ListParagraph"/>
        <w:numPr>
          <w:ilvl w:val="0"/>
          <w:numId w:val="3"/>
        </w:numPr>
        <w:spacing w:after="50"/>
      </w:pPr>
      <w:r>
        <w:rPr>
          <w:sz w:val="22"/>
          <w:szCs w:val="22"/>
        </w:rPr>
        <w:t xml:space="preserve">Government-backed loans have standard menus servicers must follow. Conventional loans follow the rules of whoever owns the loan, usually Fannie Mae or Freddie Mac. Some loans are held by the bank itself.</w:t>
      </w:r>
    </w:p>
    <w:p>
      <w:pPr>
        <w:pStyle w:val="ListParagraph"/>
        <w:numPr>
          <w:ilvl w:val="0"/>
          <w:numId w:val="3"/>
        </w:numPr>
        <w:spacing w:after="50"/>
      </w:pPr>
      <w:r>
        <w:rPr>
          <w:b/>
          <w:bCs/>
          <w:sz w:val="22"/>
          <w:szCs w:val="22"/>
        </w:rPr>
        <w:t xml:space="preserve">FHA:</w:t>
      </w:r>
      <w:r>
        <w:rPr>
          <w:sz w:val="22"/>
          <w:szCs w:val="22"/>
        </w:rPr>
        <w:t xml:space="preserve"> servicers evaluate in a set order that can include repayment plan, forbearance, partial claim, modification, or a combination. In general, one permanent home-retention option per 24 months unless a presidentially declared disaster applies. HUD updated its trial payment plan rules in 2026.</w:t>
      </w:r>
    </w:p>
    <w:p>
      <w:pPr>
        <w:pStyle w:val="ListParagraph"/>
        <w:numPr>
          <w:ilvl w:val="0"/>
          <w:numId w:val="3"/>
        </w:numPr>
        <w:spacing w:after="50"/>
      </w:pPr>
      <w:r>
        <w:rPr>
          <w:b/>
          <w:bCs/>
          <w:sz w:val="22"/>
          <w:szCs w:val="22"/>
        </w:rPr>
        <w:t xml:space="preserve">VA:</w:t>
      </w:r>
      <w:r>
        <w:rPr>
          <w:sz w:val="22"/>
          <w:szCs w:val="22"/>
        </w:rPr>
        <w:t xml:space="preserve"> the older VASP program stopped taking applications May 1, 2025. The VA Partial Claim Program began June 2026 and uses a three-month trial payment plan followed by a no-interest, no-payment second lien repaid at sale, refinance or payoff. Servicers have until late November 2026 to implement, so some may still be catching up. Veterans can also call VA at 877-827-3702.</w:t>
      </w:r>
    </w:p>
    <w:p>
      <w:pPr>
        <w:pStyle w:val="ListParagraph"/>
        <w:numPr>
          <w:ilvl w:val="0"/>
          <w:numId w:val="3"/>
        </w:numPr>
        <w:spacing w:after="50"/>
      </w:pPr>
      <w:r>
        <w:rPr>
          <w:b/>
          <w:bCs/>
          <w:sz w:val="22"/>
          <w:szCs w:val="22"/>
        </w:rPr>
        <w:t xml:space="preserve">USDA:</w:t>
      </w:r>
      <w:r>
        <w:rPr>
          <w:sz w:val="22"/>
          <w:szCs w:val="22"/>
        </w:rPr>
        <w:t xml:space="preserve"> forbearance, repayment plans and modifications. Participants should ask for the USDA options by name.</w:t>
      </w:r>
    </w:p>
    <w:p>
      <w:pPr>
        <w:pStyle w:val="ListParagraph"/>
        <w:numPr>
          <w:ilvl w:val="0"/>
          <w:numId w:val="3"/>
        </w:numPr>
        <w:spacing w:after="50"/>
      </w:pPr>
      <w:r>
        <w:rPr>
          <w:b/>
          <w:bCs/>
          <w:sz w:val="22"/>
          <w:szCs w:val="22"/>
        </w:rPr>
        <w:t xml:space="preserve">Conventional:</w:t>
      </w:r>
      <w:r>
        <w:rPr>
          <w:sz w:val="22"/>
          <w:szCs w:val="22"/>
        </w:rPr>
        <w:t xml:space="preserve"> forbearance, repayment plan, payment deferral and modification. Fannie Mae and Freddie Mac have loan lookup tools on their websites to learn who owns a loan.</w:t>
      </w:r>
    </w:p>
    <w:p>
      <w:pPr>
        <w:pStyle w:val="ListParagraph"/>
        <w:numPr>
          <w:ilvl w:val="0"/>
          <w:numId w:val="3"/>
        </w:numPr>
        <w:spacing w:after="50"/>
      </w:pPr>
      <w:r>
        <w:rPr>
          <w:sz w:val="22"/>
          <w:szCs w:val="22"/>
        </w:rPr>
        <w:t xml:space="preserve">Programs change often. Always confirm current details with the servicer or a HUD-approved counselor.</w:t>
      </w:r>
    </w:p>
    <w:p>
      <w:pPr>
        <w:pStyle w:val="Heading3"/>
        <w:keepNext/>
      </w:pPr>
      <w:r>
        <w:t xml:space="preserve">Talk track</w:t>
      </w:r>
    </w:p>
    <w:p>
      <w:pPr>
        <w:spacing w:after="100" w:before="0"/>
      </w:pPr>
      <w:r>
        <w:rPr>
          <w:i/>
          <w:iCs/>
          <w:sz w:val="22"/>
          <w:szCs w:val="22"/>
        </w:rPr>
        <w:t xml:space="preserve">"You do not need to memorize the programs. You need to know your loan type, and to ask the servicer, by name, what options exist for that loan type."</w:t>
      </w:r>
    </w:p>
    <w:p>
      <w:pPr>
        <w:pStyle w:val="Heading3"/>
        <w:keepNext/>
      </w:pPr>
      <w:r>
        <w:t xml:space="preserve">Activity: My loan profile and questions (10 minutes)</w:t>
      </w:r>
    </w:p>
    <w:p>
      <w:pPr>
        <w:spacing w:after="100" w:before="0"/>
      </w:pPr>
      <w:r>
        <w:rPr>
          <w:sz w:val="22"/>
          <w:szCs w:val="22"/>
        </w:rPr>
        <w:t xml:space="preserve">Participants complete Worksheet C on page 4: servicer name and phone, last four digits of the loan number only, payment amount, number of payments behind, and loan type. Review the six questions to ask the servicer. Have each participant circle the two they find most important.</w:t>
      </w:r>
    </w:p>
    <w:p>
      <w:pPr>
        <w:pStyle w:val="Heading3"/>
        <w:keepNext/>
      </w:pPr>
      <w:r>
        <w:t xml:space="preserve">Discussion questions</w:t>
      </w:r>
    </w:p>
    <w:p>
      <w:pPr>
        <w:pStyle w:val="ListParagraph"/>
        <w:numPr>
          <w:ilvl w:val="0"/>
          <w:numId w:val="3"/>
        </w:numPr>
        <w:spacing w:after="50"/>
      </w:pPr>
      <w:r>
        <w:rPr>
          <w:sz w:val="22"/>
          <w:szCs w:val="22"/>
        </w:rPr>
        <w:t xml:space="preserve">"How can a homeowner find out who services their loan and who owns it?" (Statement, closing documents, the servicer's website, and Fannie Mae and Freddie Mac lookup tools.)</w:t>
      </w:r>
    </w:p>
    <w:p>
      <w:pPr>
        <w:pStyle w:val="ListParagraph"/>
        <w:numPr>
          <w:ilvl w:val="0"/>
          <w:numId w:val="3"/>
        </w:numPr>
        <w:spacing w:after="50"/>
      </w:pPr>
      <w:r>
        <w:rPr>
          <w:sz w:val="22"/>
          <w:szCs w:val="22"/>
        </w:rPr>
        <w:t xml:space="preserve">"Why ask for everything in writing?"</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none" w:color="FFFFFF" w:sz="0"/>
              <w:left w:val="single" w:color="990000" w:sz="24"/>
              <w:bottom w:val="none" w:color="FFFFFF" w:sz="0"/>
              <w:right w:val="none" w:color="FFFFFF" w:sz="0"/>
            </w:tcBorders>
            <w:shd w:fill="FDF1F1" w:color="auto" w:val="clear"/>
            <w:tcMar>
              <w:top w:type="dxa" w:w="100"/>
              <w:left w:type="dxa" w:w="180"/>
              <w:bottom w:type="dxa" w:w="100"/>
              <w:right w:type="dxa" w:w="140"/>
            </w:tcMar>
          </w:tcPr>
          <w:p>
            <w:pPr>
              <w:spacing w:after="60"/>
            </w:pPr>
            <w:r>
              <w:rPr>
                <w:b/>
                <w:bCs/>
                <w:color w:val="990000"/>
                <w:sz w:val="21"/>
                <w:szCs w:val="21"/>
              </w:rPr>
              <w:t xml:space="preserve">Facilitator note</w:t>
            </w:r>
          </w:p>
          <w:p>
            <w:pPr>
              <w:spacing w:after="50"/>
            </w:pPr>
            <w:r>
              <w:rPr>
                <w:sz w:val="21"/>
                <w:szCs w:val="21"/>
              </w:rPr>
              <w:t xml:space="preserve">If a participant has a VA loan, encourage them to call the VA hotline in addition to their servicer. If any program detail is uncertain on the day, say so and tell them to confirm with a counselor.</w:t>
            </w:r>
          </w:p>
        </w:tc>
      </w:tr>
    </w:tbl>
    <w:p>
      <w:r>
        <w:br w:type="page"/>
      </w:r>
    </w:p>
    <w:p>
      <w:pPr>
        <w:pStyle w:val="Heading2"/>
        <w:keepNext/>
      </w:pPr>
      <w:r>
        <w:t xml:space="preserve">Lesson 9.4: The Foreclosure Timeline and Your Legal Protections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900"/>
        <w:gridCol w:w="8180"/>
      </w:tblGrid>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Time</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30 minutes</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Slides</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Slides 13 to 15</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Workbook</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Worksheet D: My timeline tracker (page 5)</w:t>
            </w:r>
          </w:p>
        </w:tc>
      </w:tr>
    </w:tbl>
    <w:p>
      <w:pPr>
        <w:spacing w:after="80"/>
      </w:pPr>
    </w:p>
    <w:p>
      <w:pPr>
        <w:pStyle w:val="Heading3"/>
        <w:keepNext/>
      </w:pPr>
      <w:r>
        <w:t xml:space="preserve">Key points</w:t>
      </w:r>
    </w:p>
    <w:p>
      <w:pPr>
        <w:pStyle w:val="ListParagraph"/>
        <w:numPr>
          <w:ilvl w:val="0"/>
          <w:numId w:val="3"/>
        </w:numPr>
        <w:spacing w:after="50"/>
      </w:pPr>
      <w:r>
        <w:rPr>
          <w:b/>
          <w:bCs/>
          <w:sz w:val="22"/>
          <w:szCs w:val="22"/>
        </w:rPr>
        <w:t xml:space="preserve">120-day rule:</w:t>
      </w:r>
      <w:r>
        <w:rPr>
          <w:sz w:val="22"/>
          <w:szCs w:val="22"/>
        </w:rPr>
        <w:t xml:space="preserve"> a servicer generally cannot start a foreclosure until the borrower is more than 120 days delinquent.</w:t>
      </w:r>
    </w:p>
    <w:p>
      <w:pPr>
        <w:pStyle w:val="ListParagraph"/>
        <w:numPr>
          <w:ilvl w:val="0"/>
          <w:numId w:val="3"/>
        </w:numPr>
        <w:spacing w:after="50"/>
      </w:pPr>
      <w:r>
        <w:rPr>
          <w:b/>
          <w:bCs/>
          <w:sz w:val="22"/>
          <w:szCs w:val="22"/>
        </w:rPr>
        <w:t xml:space="preserve">Dual tracking limits:</w:t>
      </w:r>
      <w:r>
        <w:rPr>
          <w:sz w:val="22"/>
          <w:szCs w:val="22"/>
        </w:rPr>
        <w:t xml:space="preserve"> if a complete loss mitigation application arrives more than 37 days before a foreclosure sale, the servicer generally must evaluate it and cannot move forward with the sale while it is under review.</w:t>
      </w:r>
    </w:p>
    <w:p>
      <w:pPr>
        <w:pStyle w:val="ListParagraph"/>
        <w:numPr>
          <w:ilvl w:val="0"/>
          <w:numId w:val="3"/>
        </w:numPr>
        <w:spacing w:after="50"/>
      </w:pPr>
      <w:r>
        <w:rPr>
          <w:b/>
          <w:bCs/>
          <w:sz w:val="22"/>
          <w:szCs w:val="22"/>
        </w:rPr>
        <w:t xml:space="preserve">Servicer timelines:</w:t>
      </w:r>
      <w:r>
        <w:rPr>
          <w:sz w:val="22"/>
          <w:szCs w:val="22"/>
        </w:rPr>
        <w:t xml:space="preserve"> acknowledge within 5 business days and say whether the application is complete. Evaluate a complete application within 30 days.</w:t>
      </w:r>
    </w:p>
    <w:p>
      <w:pPr>
        <w:pStyle w:val="ListParagraph"/>
        <w:numPr>
          <w:ilvl w:val="0"/>
          <w:numId w:val="3"/>
        </w:numPr>
        <w:spacing w:after="50"/>
      </w:pPr>
      <w:r>
        <w:rPr>
          <w:b/>
          <w:bCs/>
          <w:sz w:val="22"/>
          <w:szCs w:val="22"/>
        </w:rPr>
        <w:t xml:space="preserve">Right to appeal:</w:t>
      </w:r>
      <w:r>
        <w:rPr>
          <w:sz w:val="22"/>
          <w:szCs w:val="22"/>
        </w:rPr>
        <w:t xml:space="preserve"> if a complete application arrived at least 90 days before a sale and a loan modification is denied, there is generally an appeal right.</w:t>
      </w:r>
    </w:p>
    <w:p>
      <w:pPr>
        <w:pStyle w:val="ListParagraph"/>
        <w:numPr>
          <w:ilvl w:val="0"/>
          <w:numId w:val="3"/>
        </w:numPr>
        <w:spacing w:after="50"/>
      </w:pPr>
      <w:r>
        <w:rPr>
          <w:sz w:val="22"/>
          <w:szCs w:val="22"/>
        </w:rPr>
        <w:t xml:space="preserve">"Complete" matters. Send missing documents right away and keep proof.</w:t>
      </w:r>
    </w:p>
    <w:p>
      <w:pPr>
        <w:pStyle w:val="ListParagraph"/>
        <w:numPr>
          <w:ilvl w:val="0"/>
          <w:numId w:val="3"/>
        </w:numPr>
        <w:spacing w:after="50"/>
      </w:pPr>
      <w:r>
        <w:rPr>
          <w:b/>
          <w:bCs/>
          <w:sz w:val="22"/>
          <w:szCs w:val="22"/>
        </w:rPr>
        <w:t xml:space="preserve">Texas:</w:t>
      </w:r>
      <w:r>
        <w:rPr>
          <w:sz w:val="22"/>
          <w:szCs w:val="22"/>
        </w:rPr>
        <w:t xml:space="preserve"> non-judicial foreclosure. Notice of default by certified mail with at least 20 days to cure. Notice of sale at least 21 days before the sale. Sales happen on the first Tuesday of the month, 10 a.m. to 4 p.m., at the county courthouse or other designated location. A sale date can come roughly 41 days after the first default notice.</w:t>
      </w:r>
    </w:p>
    <w:p>
      <w:pPr>
        <w:pStyle w:val="ListParagraph"/>
        <w:numPr>
          <w:ilvl w:val="0"/>
          <w:numId w:val="3"/>
        </w:numPr>
        <w:spacing w:after="50"/>
      </w:pPr>
      <w:r>
        <w:rPr>
          <w:sz w:val="22"/>
          <w:szCs w:val="22"/>
        </w:rPr>
        <w:t xml:space="preserve">Other states differ. Some require a court process. If you teach outside Texas, replace the Texas slide and say that clearly.</w:t>
      </w:r>
    </w:p>
    <w:p>
      <w:pPr>
        <w:pStyle w:val="ListParagraph"/>
        <w:numPr>
          <w:ilvl w:val="0"/>
          <w:numId w:val="3"/>
        </w:numPr>
        <w:spacing w:after="50"/>
      </w:pPr>
      <w:r>
        <w:rPr>
          <w:sz w:val="22"/>
          <w:szCs w:val="22"/>
        </w:rPr>
        <w:t xml:space="preserve">A notice of default is not an eviction. Do not leave the home just because a notice arrived.</w:t>
      </w:r>
    </w:p>
    <w:p>
      <w:pPr>
        <w:pStyle w:val="ListParagraph"/>
        <w:numPr>
          <w:ilvl w:val="0"/>
          <w:numId w:val="3"/>
        </w:numPr>
        <w:spacing w:after="50"/>
      </w:pPr>
      <w:r>
        <w:rPr>
          <w:sz w:val="22"/>
          <w:szCs w:val="22"/>
        </w:rPr>
        <w:t xml:space="preserve">If a servicer is not following the rules: keep copies, write down what happened, and file a CFPB complaint at consumerfinance.gov/complaint. State attorneys general and legal aid are other options.</w:t>
      </w:r>
    </w:p>
    <w:p>
      <w:pPr>
        <w:pStyle w:val="Heading3"/>
        <w:keepNext/>
      </w:pPr>
      <w:r>
        <w:t xml:space="preserve">Talk track</w:t>
      </w:r>
    </w:p>
    <w:p>
      <w:pPr>
        <w:spacing w:after="100" w:before="0"/>
      </w:pPr>
      <w:r>
        <w:rPr>
          <w:i/>
          <w:iCs/>
          <w:sz w:val="22"/>
          <w:szCs w:val="22"/>
        </w:rPr>
        <w:t xml:space="preserve">"The rules give you real protection, but only if you act inside the deadlines. Think of the first missed payment as starting a calendar. Today you are going to build that calendar."</w:t>
      </w:r>
    </w:p>
    <w:p>
      <w:pPr>
        <w:pStyle w:val="Heading3"/>
        <w:keepNext/>
      </w:pPr>
      <w:r>
        <w:t xml:space="preserve">Activity: Build a timeline (10 minutes)</w:t>
      </w:r>
    </w:p>
    <w:p>
      <w:pPr>
        <w:spacing w:after="100" w:before="0"/>
      </w:pPr>
      <w:r>
        <w:rPr>
          <w:sz w:val="22"/>
          <w:szCs w:val="22"/>
        </w:rPr>
        <w:t xml:space="preserve">Walk through the example together, then participants complete Worksheet D with their own or hypothetical dates.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4200"/>
        <w:gridCol w:w="5880"/>
      </w:tblGrid>
      <w:tr>
        <w:trPr>
          <w:tblHeader/>
        </w:trPr>
        <w:tc>
          <w:tcPr>
            <w:tcW w:type="dxa" w:w="42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Event</w:t>
            </w:r>
          </w:p>
        </w:tc>
        <w:tc>
          <w:tcPr>
            <w:tcW w:type="dxa" w:w="588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Example dates</w:t>
            </w:r>
          </w:p>
        </w:tc>
      </w:tr>
      <w:tr>
        <w:trPr>
          <w:cantSplit/>
        </w:trPr>
        <w:tc>
          <w:tcPr>
            <w:tcW w:type="dxa" w:w="42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First missed payment</w:t>
            </w:r>
          </w:p>
        </w:tc>
        <w:tc>
          <w:tcPr>
            <w:tcW w:type="dxa" w:w="5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March 1</w:t>
            </w:r>
          </w:p>
        </w:tc>
      </w:tr>
      <w:tr>
        <w:trPr>
          <w:cantSplit/>
        </w:trPr>
        <w:tc>
          <w:tcPr>
            <w:tcW w:type="dxa" w:w="42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More than 120 days delinquent</w:t>
            </w:r>
          </w:p>
        </w:tc>
        <w:tc>
          <w:tcPr>
            <w:tcW w:type="dxa" w:w="5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About June 29. A servicer generally cannot start a foreclosure before then.</w:t>
            </w:r>
          </w:p>
        </w:tc>
      </w:tr>
      <w:tr>
        <w:trPr>
          <w:cantSplit/>
        </w:trPr>
        <w:tc>
          <w:tcPr>
            <w:tcW w:type="dxa" w:w="42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Texas notice of default arrives</w:t>
            </w:r>
          </w:p>
        </w:tc>
        <w:tc>
          <w:tcPr>
            <w:tcW w:type="dxa" w:w="5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July 10</w:t>
            </w:r>
          </w:p>
        </w:tc>
      </w:tr>
      <w:tr>
        <w:trPr>
          <w:cantSplit/>
        </w:trPr>
        <w:tc>
          <w:tcPr>
            <w:tcW w:type="dxa" w:w="42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Cure period ends (20 days)</w:t>
            </w:r>
          </w:p>
        </w:tc>
        <w:tc>
          <w:tcPr>
            <w:tcW w:type="dxa" w:w="5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About July 30</w:t>
            </w:r>
          </w:p>
        </w:tc>
      </w:tr>
      <w:tr>
        <w:trPr>
          <w:cantSplit/>
        </w:trPr>
        <w:tc>
          <w:tcPr>
            <w:tcW w:type="dxa" w:w="42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Earliest notice of sale</w:t>
            </w:r>
          </w:p>
        </w:tc>
        <w:tc>
          <w:tcPr>
            <w:tcW w:type="dxa" w:w="5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About July 31. Sale at least 21 days later, on a first Tuesday.</w:t>
            </w:r>
          </w:p>
        </w:tc>
      </w:tr>
      <w:tr>
        <w:trPr>
          <w:cantSplit/>
        </w:trPr>
        <w:tc>
          <w:tcPr>
            <w:tcW w:type="dxa" w:w="42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Complete application deadline for dual tracking protection</w:t>
            </w:r>
          </w:p>
        </w:tc>
        <w:tc>
          <w:tcPr>
            <w:tcW w:type="dxa" w:w="5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More than 37 days before the sale date.</w:t>
            </w:r>
          </w:p>
        </w:tc>
      </w:tr>
    </w:tbl>
    <w:p>
      <w:pPr>
        <w:spacing w:after="80"/>
      </w:pPr>
    </w:p>
    <w:p>
      <w:pPr>
        <w:pStyle w:val="Heading3"/>
        <w:keepNext/>
      </w:pPr>
      <w:r>
        <w:t xml:space="preserve">Discussion questions</w:t>
      </w:r>
    </w:p>
    <w:p>
      <w:pPr>
        <w:pStyle w:val="ListParagraph"/>
        <w:numPr>
          <w:ilvl w:val="0"/>
          <w:numId w:val="3"/>
        </w:numPr>
        <w:spacing w:after="50"/>
      </w:pPr>
      <w:r>
        <w:rPr>
          <w:sz w:val="22"/>
          <w:szCs w:val="22"/>
        </w:rPr>
        <w:t xml:space="preserve">"What does 'complete application' mean, and why does it matter so much?"</w:t>
      </w:r>
    </w:p>
    <w:p>
      <w:pPr>
        <w:pStyle w:val="ListParagraph"/>
        <w:numPr>
          <w:ilvl w:val="0"/>
          <w:numId w:val="3"/>
        </w:numPr>
        <w:spacing w:after="50"/>
      </w:pPr>
      <w:r>
        <w:rPr>
          <w:sz w:val="22"/>
          <w:szCs w:val="22"/>
        </w:rPr>
        <w:t xml:space="preserve">"What would you do the day you receive a notice of default?"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none" w:color="FFFFFF" w:sz="0"/>
              <w:left w:val="single" w:color="990000" w:sz="24"/>
              <w:bottom w:val="none" w:color="FFFFFF" w:sz="0"/>
              <w:right w:val="none" w:color="FFFFFF" w:sz="0"/>
            </w:tcBorders>
            <w:shd w:fill="FDF1F1" w:color="auto" w:val="clear"/>
            <w:tcMar>
              <w:top w:type="dxa" w:w="100"/>
              <w:left w:type="dxa" w:w="180"/>
              <w:bottom w:type="dxa" w:w="100"/>
              <w:right w:type="dxa" w:w="140"/>
            </w:tcMar>
          </w:tcPr>
          <w:p>
            <w:pPr>
              <w:spacing w:after="60"/>
            </w:pPr>
            <w:r>
              <w:rPr>
                <w:b/>
                <w:bCs/>
                <w:color w:val="990000"/>
                <w:sz w:val="21"/>
                <w:szCs w:val="21"/>
              </w:rPr>
              <w:t xml:space="preserve">Facilitator note</w:t>
            </w:r>
          </w:p>
          <w:p>
            <w:pPr>
              <w:spacing w:after="50"/>
            </w:pPr>
            <w:r>
              <w:rPr>
                <w:sz w:val="21"/>
                <w:szCs w:val="21"/>
              </w:rPr>
              <w:t xml:space="preserve">Do not interpret the law for a participant's specific case. Encourage them to see a housing attorney or legal aid office. Verify the federal and state rules in Appendix H before each class.</w:t>
            </w:r>
          </w:p>
        </w:tc>
      </w:tr>
    </w:tbl>
    <w:p>
      <w:r>
        <w:br w:type="page"/>
      </w:r>
    </w:p>
    <w:p>
      <w:pPr>
        <w:pStyle w:val="Heading2"/>
        <w:keepNext/>
      </w:pPr>
      <w:r>
        <w:t xml:space="preserve">Lesson 9.5: Foreclosure Rescue Scams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900"/>
        <w:gridCol w:w="8180"/>
      </w:tblGrid>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Time</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20 minutes</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Slides</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Slides 16 to 18</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Workbook</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Worksheet E: Scam screen (page 6)</w:t>
            </w:r>
          </w:p>
        </w:tc>
      </w:tr>
    </w:tbl>
    <w:p>
      <w:pPr>
        <w:spacing w:after="80"/>
      </w:pPr>
    </w:p>
    <w:p>
      <w:pPr>
        <w:pStyle w:val="Heading3"/>
        <w:keepNext/>
      </w:pPr>
      <w:r>
        <w:t xml:space="preserve">Key points</w:t>
      </w:r>
    </w:p>
    <w:p>
      <w:pPr>
        <w:pStyle w:val="ListParagraph"/>
        <w:numPr>
          <w:ilvl w:val="0"/>
          <w:numId w:val="3"/>
        </w:numPr>
        <w:spacing w:after="50"/>
      </w:pPr>
      <w:r>
        <w:rPr>
          <w:sz w:val="22"/>
          <w:szCs w:val="22"/>
        </w:rPr>
        <w:t xml:space="preserve">Scammers read public foreclosure notices and look for the people named on them. They send official-looking letters, call and knock on doors.</w:t>
      </w:r>
    </w:p>
    <w:p>
      <w:pPr>
        <w:pStyle w:val="ListParagraph"/>
        <w:numPr>
          <w:ilvl w:val="0"/>
          <w:numId w:val="3"/>
        </w:numPr>
        <w:spacing w:after="50"/>
      </w:pPr>
      <w:r>
        <w:rPr>
          <w:sz w:val="22"/>
          <w:szCs w:val="22"/>
        </w:rPr>
        <w:t xml:space="preserve">Red flags: up-front fees (generally illegal before results), guarantees, telling you to stop talking to your servicer, lawyer or counselor, asking you to sign over the deed with a promise you can rent and buy back, asking you to send payments to them, payment by wire, cashier's check or payment app, names that sound like government agencies or nonprofits, and pressure to sign now.</w:t>
      </w:r>
    </w:p>
    <w:p>
      <w:pPr>
        <w:pStyle w:val="ListParagraph"/>
        <w:numPr>
          <w:ilvl w:val="0"/>
          <w:numId w:val="3"/>
        </w:numPr>
        <w:spacing w:after="50"/>
      </w:pPr>
      <w:r>
        <w:rPr>
          <w:sz w:val="22"/>
          <w:szCs w:val="22"/>
        </w:rPr>
        <w:t xml:space="preserve">What to do instead: work only with a HUD-approved counselor, never sign something you do not understand, never sign anything that transfers ownership without an attorney, pay only the servicer named on the statement, and report scams.</w:t>
      </w:r>
    </w:p>
    <w:p>
      <w:pPr>
        <w:pStyle w:val="ListParagraph"/>
        <w:numPr>
          <w:ilvl w:val="0"/>
          <w:numId w:val="3"/>
        </w:numPr>
        <w:spacing w:after="50"/>
      </w:pPr>
      <w:r>
        <w:rPr>
          <w:sz w:val="22"/>
          <w:szCs w:val="22"/>
        </w:rPr>
        <w:t xml:space="preserve">Report to the FTC at reportfraud.ftc.gov and to the CFPB at consumerfinance.gov/complaint.</w:t>
      </w:r>
    </w:p>
    <w:p>
      <w:pPr>
        <w:pStyle w:val="ListParagraph"/>
        <w:numPr>
          <w:ilvl w:val="0"/>
          <w:numId w:val="3"/>
        </w:numPr>
        <w:spacing w:after="50"/>
      </w:pPr>
      <w:r>
        <w:rPr>
          <w:sz w:val="22"/>
          <w:szCs w:val="22"/>
        </w:rPr>
        <w:t xml:space="preserve">Anyone can be targeted. Scammers apply pressure at a vulnerable moment.</w:t>
      </w:r>
    </w:p>
    <w:p>
      <w:pPr>
        <w:pStyle w:val="Heading3"/>
        <w:keepNext/>
      </w:pPr>
      <w:r>
        <w:t xml:space="preserve">Talk track</w:t>
      </w:r>
    </w:p>
    <w:p>
      <w:pPr>
        <w:spacing w:after="100" w:before="0"/>
      </w:pPr>
      <w:r>
        <w:rPr>
          <w:i/>
          <w:iCs/>
          <w:sz w:val="22"/>
          <w:szCs w:val="22"/>
        </w:rPr>
        <w:t xml:space="preserve">"The test is simple. If someone you did not contact is promising to save your home, and they want money or a signature, walk away and call 888-995-HOPE."</w:t>
      </w:r>
    </w:p>
    <w:p>
      <w:pPr>
        <w:pStyle w:val="Heading3"/>
        <w:keepNext/>
      </w:pPr>
      <w:r>
        <w:t xml:space="preserve">Activity: Would you sign? (8 minutes)</w:t>
      </w:r>
    </w:p>
    <w:p>
      <w:pPr>
        <w:spacing w:after="100" w:before="0"/>
      </w:pPr>
      <w:r>
        <w:rPr>
          <w:sz w:val="22"/>
          <w:szCs w:val="22"/>
        </w:rPr>
        <w:t xml:space="preserve">Read the letter on slide 17 aloud. Pairs count the red flags and say what they would do instead.</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4200"/>
        <w:gridCol w:w="5880"/>
      </w:tblGrid>
      <w:tr>
        <w:trPr>
          <w:tblHeader/>
        </w:trPr>
        <w:tc>
          <w:tcPr>
            <w:tcW w:type="dxa" w:w="42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Red flag in the letter</w:t>
            </w:r>
          </w:p>
        </w:tc>
        <w:tc>
          <w:tcPr>
            <w:tcW w:type="dxa" w:w="588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Why it matters</w:t>
            </w:r>
          </w:p>
        </w:tc>
      </w:tr>
      <w:tr>
        <w:trPr>
          <w:cantSplit/>
        </w:trPr>
        <w:tc>
          <w:tcPr>
            <w:tcW w:type="dxa" w:w="42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"We guarantee to stop your foreclosure"</w:t>
            </w:r>
          </w:p>
        </w:tc>
        <w:tc>
          <w:tcPr>
            <w:tcW w:type="dxa" w:w="5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No one can guarantee that.</w:t>
            </w:r>
          </w:p>
        </w:tc>
      </w:tr>
      <w:tr>
        <w:trPr>
          <w:cantSplit/>
        </w:trPr>
        <w:tc>
          <w:tcPr>
            <w:tcW w:type="dxa" w:w="42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$1,800 fee by wire</w:t>
            </w:r>
          </w:p>
        </w:tc>
        <w:tc>
          <w:tcPr>
            <w:tcW w:type="dxa" w:w="5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Up-front fee, and wire payments are hard to recover.</w:t>
            </w:r>
          </w:p>
        </w:tc>
      </w:tr>
      <w:tr>
        <w:trPr>
          <w:cantSplit/>
        </w:trPr>
        <w:tc>
          <w:tcPr>
            <w:tcW w:type="dxa" w:w="42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"Do not talk to your lender"</w:t>
            </w:r>
          </w:p>
        </w:tc>
        <w:tc>
          <w:tcPr>
            <w:tcW w:type="dxa" w:w="5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Isolating you from people who can actually help.</w:t>
            </w:r>
          </w:p>
        </w:tc>
      </w:tr>
      <w:tr>
        <w:trPr>
          <w:cantSplit/>
        </w:trPr>
        <w:tc>
          <w:tcPr>
            <w:tcW w:type="dxa" w:w="42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Sign a deed transfer</w:t>
            </w:r>
          </w:p>
        </w:tc>
        <w:tc>
          <w:tcPr>
            <w:tcW w:type="dxa" w:w="5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You could lose ownership and be evicted as a renter.</w:t>
            </w:r>
          </w:p>
        </w:tc>
      </w:tr>
      <w:tr>
        <w:trPr>
          <w:cantSplit/>
        </w:trPr>
        <w:tc>
          <w:tcPr>
            <w:tcW w:type="dxa" w:w="42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Rent and buy back later</w:t>
            </w:r>
          </w:p>
        </w:tc>
        <w:tc>
          <w:tcPr>
            <w:tcW w:type="dxa" w:w="5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A common promise in deed-theft scams.</w:t>
            </w:r>
          </w:p>
        </w:tc>
      </w:tr>
      <w:tr>
        <w:trPr>
          <w:cantSplit/>
        </w:trPr>
        <w:tc>
          <w:tcPr>
            <w:tcW w:type="dxa" w:w="42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Name that sounds like a federal program</w:t>
            </w:r>
          </w:p>
        </w:tc>
        <w:tc>
          <w:tcPr>
            <w:tcW w:type="dxa" w:w="5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Look-alike names are common.</w:t>
            </w:r>
          </w:p>
        </w:tc>
      </w:tr>
      <w:tr>
        <w:trPr>
          <w:cantSplit/>
        </w:trPr>
        <w:tc>
          <w:tcPr>
            <w:tcW w:type="dxa" w:w="42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Pay this week</w:t>
            </w:r>
          </w:p>
        </w:tc>
        <w:tc>
          <w:tcPr>
            <w:tcW w:type="dxa" w:w="5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Pressure to act before you can check.</w:t>
            </w:r>
          </w:p>
        </w:tc>
      </w:tr>
    </w:tbl>
    <w:p>
      <w:pPr>
        <w:spacing w:after="80"/>
      </w:pPr>
    </w:p>
    <w:p>
      <w:pPr>
        <w:pStyle w:val="Heading3"/>
        <w:keepNext/>
      </w:pPr>
      <w:r>
        <w:t xml:space="preserve">Discussion questions</w:t>
      </w:r>
    </w:p>
    <w:p>
      <w:pPr>
        <w:pStyle w:val="ListParagraph"/>
        <w:numPr>
          <w:ilvl w:val="0"/>
          <w:numId w:val="3"/>
        </w:numPr>
        <w:spacing w:after="50"/>
      </w:pPr>
      <w:r>
        <w:rPr>
          <w:sz w:val="22"/>
          <w:szCs w:val="22"/>
        </w:rPr>
        <w:t xml:space="preserve">"Why do these scams work on smart, careful people?"</w:t>
      </w:r>
    </w:p>
    <w:p>
      <w:pPr>
        <w:pStyle w:val="ListParagraph"/>
        <w:numPr>
          <w:ilvl w:val="0"/>
          <w:numId w:val="3"/>
        </w:numPr>
        <w:spacing w:after="50"/>
      </w:pPr>
      <w:r>
        <w:rPr>
          <w:sz w:val="22"/>
          <w:szCs w:val="22"/>
        </w:rPr>
        <w:t xml:space="preserve">"Who would you call first if a letter like this came to your door?"</w:t>
      </w:r>
    </w:p>
    <w:p>
      <w:r>
        <w:br w:type="page"/>
      </w:r>
    </w:p>
    <w:p>
      <w:pPr>
        <w:pStyle w:val="Heading2"/>
        <w:keepNext/>
      </w:pPr>
      <w:r>
        <w:t xml:space="preserve">Self-check quiz (10 minutes)</w:t>
      </w:r>
    </w:p>
    <w:p>
      <w:pPr>
        <w:spacing w:after="100" w:before="0"/>
      </w:pPr>
      <w:r>
        <w:rPr>
          <w:sz w:val="22"/>
          <w:szCs w:val="22"/>
        </w:rPr>
        <w:t xml:space="preserve">Participants answer on workbook page 7 without notes. Review aloud. Use wrong answers as teaching moments, not grades.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700"/>
        <w:gridCol w:w="1000"/>
        <w:gridCol w:w="8380"/>
      </w:tblGrid>
      <w:tr>
        <w:trPr>
          <w:tblHeader/>
        </w:trPr>
        <w:tc>
          <w:tcPr>
            <w:tcW w:type="dxa" w:w="7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Q</w:t>
            </w:r>
          </w:p>
        </w:tc>
        <w:tc>
          <w:tcPr>
            <w:tcW w:type="dxa" w:w="10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Answer</w:t>
            </w:r>
          </w:p>
        </w:tc>
        <w:tc>
          <w:tcPr>
            <w:tcW w:type="dxa" w:w="838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Why</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w:t>
            </w:r>
          </w:p>
        </w:tc>
        <w:tc>
          <w:tcPr>
            <w:tcW w:type="dxa" w:w="83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Call a HUD-approved counselor and the servicer now, before falling behind. Waiting narrows options.</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2</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A</w:t>
            </w:r>
          </w:p>
        </w:tc>
        <w:tc>
          <w:tcPr>
            <w:tcW w:type="dxa" w:w="83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A payment deferral or partial claim moves the past-due amount into a separate balance, often interest-free, repaid at sale, refinance or payoff.</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C</w:t>
            </w:r>
          </w:p>
        </w:tc>
        <w:tc>
          <w:tcPr>
            <w:tcW w:type="dxa" w:w="83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Under federal servicing rules, a servicer generally cannot begin a foreclosure until the borrower is more than 120 days delinquent.</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4</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w:t>
            </w:r>
          </w:p>
        </w:tc>
        <w:tc>
          <w:tcPr>
            <w:tcW w:type="dxa" w:w="83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An up-front fee plus telling you to stop talking to your lender is a classic rescue scam.</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5</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w:t>
            </w:r>
          </w:p>
        </w:tc>
        <w:tc>
          <w:tcPr>
            <w:tcW w:type="dxa" w:w="83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A notice of default means the process has started and a deadline is running. It is not an eviction.</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6</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w:t>
            </w:r>
          </w:p>
        </w:tc>
        <w:tc>
          <w:tcPr>
            <w:tcW w:type="dxa" w:w="83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Modifications permanently change loan terms and are for hardships that are not going away.</w:t>
            </w:r>
          </w:p>
        </w:tc>
      </w:tr>
    </w:tbl>
    <w:p>
      <w:pPr>
        <w:spacing w:after="80"/>
      </w:pPr>
    </w:p>
    <w:p>
      <w:pPr>
        <w:pStyle w:val="Heading2"/>
        <w:keepNext/>
      </w:pPr>
      <w:r>
        <w:t xml:space="preserve">Action plan and wrap-up (15 minutes)</w:t>
      </w:r>
    </w:p>
    <w:p>
      <w:pPr>
        <w:pStyle w:val="ListParagraph"/>
        <w:numPr>
          <w:ilvl w:val="0"/>
          <w:numId w:val="5"/>
        </w:numPr>
        <w:spacing w:after="60"/>
      </w:pPr>
      <w:r>
        <w:rPr>
          <w:sz w:val="22"/>
          <w:szCs w:val="22"/>
        </w:rPr>
        <w:t xml:space="preserve">Participants complete the action plan on workbook page 8. Ask each to name one action for the next 24 hours.</w:t>
      </w:r>
    </w:p>
    <w:p>
      <w:pPr>
        <w:pStyle w:val="ListParagraph"/>
        <w:numPr>
          <w:ilvl w:val="0"/>
          <w:numId w:val="5"/>
        </w:numPr>
        <w:spacing w:after="60"/>
      </w:pPr>
      <w:r>
        <w:rPr>
          <w:sz w:val="22"/>
          <w:szCs w:val="22"/>
        </w:rPr>
        <w:t xml:space="preserve">Hand out the list of local HUD-approved counseling agencies and legal aid offices. Repeat the HOPE Hotline number.</w:t>
      </w:r>
    </w:p>
    <w:p>
      <w:pPr>
        <w:pStyle w:val="ListParagraph"/>
        <w:numPr>
          <w:ilvl w:val="0"/>
          <w:numId w:val="5"/>
        </w:numPr>
        <w:spacing w:after="60"/>
      </w:pPr>
      <w:r>
        <w:rPr>
          <w:sz w:val="22"/>
          <w:szCs w:val="22"/>
        </w:rPr>
        <w:t xml:space="preserve">Hand out evaluation forms (Appendix C) and collect them.</w:t>
      </w:r>
    </w:p>
    <w:p>
      <w:pPr>
        <w:pStyle w:val="ListParagraph"/>
        <w:numPr>
          <w:ilvl w:val="0"/>
          <w:numId w:val="5"/>
        </w:numPr>
        <w:spacing w:after="60"/>
      </w:pPr>
      <w:r>
        <w:rPr>
          <w:sz w:val="22"/>
          <w:szCs w:val="22"/>
        </w:rPr>
        <w:t xml:space="preserve">Issue certificates of completion if your agency does so (Appendix D).</w:t>
      </w:r>
    </w:p>
    <w:p>
      <w:pPr>
        <w:pStyle w:val="ListParagraph"/>
        <w:numPr>
          <w:ilvl w:val="0"/>
          <w:numId w:val="5"/>
        </w:numPr>
        <w:spacing w:after="60"/>
      </w:pPr>
      <w:r>
        <w:rPr>
          <w:sz w:val="22"/>
          <w:szCs w:val="22"/>
        </w:rPr>
        <w:t xml:space="preserve">Stay after class for private questions.</w:t>
      </w:r>
    </w:p>
    <w:p>
      <w:pPr>
        <w:pStyle w:val="Heading3"/>
        <w:keepNext/>
      </w:pPr>
      <w:r>
        <w:t xml:space="preserve">After class</w:t>
      </w:r>
    </w:p>
    <w:p>
      <w:pPr>
        <w:pStyle w:val="ListParagraph"/>
        <w:numPr>
          <w:ilvl w:val="0"/>
          <w:numId w:val="3"/>
        </w:numPr>
        <w:spacing w:after="50"/>
      </w:pPr>
      <w:r>
        <w:rPr>
          <w:sz w:val="22"/>
          <w:szCs w:val="22"/>
        </w:rPr>
        <w:t xml:space="preserve">Enter attendance and outcome data per your agency policy.</w:t>
      </w:r>
    </w:p>
    <w:p>
      <w:pPr>
        <w:pStyle w:val="ListParagraph"/>
        <w:numPr>
          <w:ilvl w:val="0"/>
          <w:numId w:val="3"/>
        </w:numPr>
        <w:spacing w:after="50"/>
      </w:pPr>
      <w:r>
        <w:rPr>
          <w:sz w:val="22"/>
          <w:szCs w:val="22"/>
        </w:rPr>
        <w:t xml:space="preserve">Note any participants who asked for individual counseling, and follow up promptly. Time matters for this audience.</w:t>
      </w:r>
    </w:p>
    <w:p>
      <w:pPr>
        <w:pStyle w:val="ListParagraph"/>
        <w:numPr>
          <w:ilvl w:val="0"/>
          <w:numId w:val="3"/>
        </w:numPr>
        <w:spacing w:after="50"/>
      </w:pPr>
      <w:r>
        <w:rPr>
          <w:sz w:val="22"/>
          <w:szCs w:val="22"/>
        </w:rPr>
        <w:t xml:space="preserve">Send a follow-up message within a week with the workbook link and the hotline number.</w:t>
      </w:r>
    </w:p>
    <w:p>
      <w:r>
        <w:br w:type="page"/>
      </w:r>
    </w:p>
    <w:p>
      <w:pPr>
        <w:pStyle w:val="Heading1"/>
        <w:keepNext/>
      </w:pPr>
      <w:r>
        <w:t xml:space="preserve">Appendix A: Pre-class survey</w:t>
      </w:r>
    </w:p>
    <w:p>
      <w:pPr>
        <w:spacing w:after="100" w:before="0"/>
      </w:pPr>
      <w:r>
        <w:rPr>
          <w:sz w:val="22"/>
          <w:szCs w:val="22"/>
        </w:rPr>
        <w:t xml:space="preserve">Optional. Do not require names.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rPr>
          <w:tblHeader/>
        </w:trPr>
        <w:tc>
          <w:tcPr>
            <w:tcW w:type="dxa" w:w="504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Question</w:t>
            </w:r>
          </w:p>
        </w:tc>
        <w:tc>
          <w:tcPr>
            <w:tcW w:type="dxa" w:w="504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Response options</w:t>
            </w:r>
          </w:p>
        </w:tc>
      </w:tr>
      <w:tr>
        <w:trPr>
          <w:cantSplit/>
        </w:trPr>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Why are you here today?</w:t>
            </w:r>
          </w:p>
        </w:tc>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I am behind   ☐ I am worried   ☐ Helping someone   ☐ Just learning</w:t>
            </w:r>
          </w:p>
        </w:tc>
      </w:tr>
      <w:tr>
        <w:trPr>
          <w:cantSplit/>
        </w:trPr>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Have you ever contacted your servicer about a hardship?</w:t>
            </w:r>
          </w:p>
        </w:tc>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Yes   ☐ No   ☐ Not applicable</w:t>
            </w:r>
          </w:p>
        </w:tc>
      </w:tr>
      <w:tr>
        <w:trPr>
          <w:cantSplit/>
        </w:trPr>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Do you know who your servicer is?</w:t>
            </w:r>
          </w:p>
        </w:tc>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Yes   ☐ No</w:t>
            </w:r>
          </w:p>
        </w:tc>
      </w:tr>
      <w:tr>
        <w:trPr>
          <w:cantSplit/>
        </w:trPr>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What do you most want to learn today?</w:t>
            </w:r>
          </w:p>
        </w:tc>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________________________________</w:t>
            </w:r>
          </w:p>
        </w:tc>
      </w:tr>
      <w:tr>
        <w:trPr>
          <w:cantSplit/>
        </w:trPr>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Do you need materials in another language?</w:t>
            </w:r>
          </w:p>
        </w:tc>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________________________________</w:t>
            </w:r>
          </w:p>
        </w:tc>
      </w:tr>
    </w:tbl>
    <w:p>
      <w:pPr>
        <w:pStyle w:val="Heading1"/>
        <w:keepNext/>
      </w:pPr>
      <w:r>
        <w:t xml:space="preserve">Appendix B: Sample sign-in and intake sheet</w:t>
      </w:r>
    </w:p>
    <w:p>
      <w:pPr>
        <w:spacing w:after="100" w:before="0"/>
      </w:pPr>
      <w:r>
        <w:rPr>
          <w:sz w:val="22"/>
          <w:szCs w:val="22"/>
        </w:rPr>
        <w:t xml:space="preserve">Agencies decide what they collect and how they store it. Mark anything optional as optional and keep records secure.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4000"/>
        <w:gridCol w:w="3000"/>
        <w:gridCol w:w="3080"/>
      </w:tblGrid>
      <w:tr>
        <w:trPr>
          <w:tblHeader/>
        </w:trPr>
        <w:tc>
          <w:tcPr>
            <w:tcW w:type="dxa" w:w="40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Field</w:t>
            </w:r>
          </w:p>
        </w:tc>
        <w:tc>
          <w:tcPr>
            <w:tcW w:type="dxa" w:w="30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Required?</w:t>
            </w:r>
          </w:p>
        </w:tc>
        <w:tc>
          <w:tcPr>
            <w:tcW w:type="dxa" w:w="308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Notes</w:t>
            </w:r>
          </w:p>
        </w:tc>
      </w:tr>
      <w:tr>
        <w:trPr>
          <w:cantSplit/>
        </w:trPr>
        <w:tc>
          <w:tcPr>
            <w:tcW w:type="dxa" w:w="4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Name and contact information</w:t>
            </w:r>
          </w:p>
        </w:tc>
        <w:tc>
          <w:tcPr>
            <w:tcW w:type="dxa" w:w="3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Per agency policy</w:t>
            </w:r>
          </w:p>
        </w:tc>
        <w:tc>
          <w:tcPr>
            <w:tcW w:type="dxa" w:w="3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For follow-up and certificate</w:t>
            </w:r>
          </w:p>
        </w:tc>
      </w:tr>
      <w:tr>
        <w:trPr>
          <w:cantSplit/>
        </w:trPr>
        <w:tc>
          <w:tcPr>
            <w:tcW w:type="dxa" w:w="4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Services sought or provided</w:t>
            </w:r>
          </w:p>
        </w:tc>
        <w:tc>
          <w:tcPr>
            <w:tcW w:type="dxa" w:w="3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Per agency policy</w:t>
            </w:r>
          </w:p>
        </w:tc>
        <w:tc>
          <w:tcPr>
            <w:tcW w:type="dxa" w:w="3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Delinquency and default resolution education</w:t>
            </w:r>
          </w:p>
        </w:tc>
      </w:tr>
      <w:tr>
        <w:trPr>
          <w:cantSplit/>
        </w:trPr>
        <w:tc>
          <w:tcPr>
            <w:tcW w:type="dxa" w:w="4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Household size and income</w:t>
            </w:r>
          </w:p>
        </w:tc>
        <w:tc>
          <w:tcPr>
            <w:tcW w:type="dxa" w:w="3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Per agency policy</w:t>
            </w:r>
          </w:p>
        </w:tc>
        <w:tc>
          <w:tcPr>
            <w:tcW w:type="dxa" w:w="3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Often reported as a range</w:t>
            </w:r>
          </w:p>
        </w:tc>
      </w:tr>
      <w:tr>
        <w:trPr>
          <w:cantSplit/>
        </w:trPr>
        <w:tc>
          <w:tcPr>
            <w:tcW w:type="dxa" w:w="4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Race and ethnicity</w:t>
            </w:r>
          </w:p>
        </w:tc>
        <w:tc>
          <w:tcPr>
            <w:tcW w:type="dxa" w:w="3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Optional</w:t>
            </w:r>
          </w:p>
        </w:tc>
        <w:tc>
          <w:tcPr>
            <w:tcW w:type="dxa" w:w="3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Voluntary reporting</w:t>
            </w:r>
          </w:p>
        </w:tc>
      </w:tr>
      <w:tr>
        <w:trPr>
          <w:cantSplit/>
        </w:trPr>
        <w:tc>
          <w:tcPr>
            <w:tcW w:type="dxa" w:w="4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Date, type, format and length of workshop attended</w:t>
            </w:r>
          </w:p>
        </w:tc>
        <w:tc>
          <w:tcPr>
            <w:tcW w:type="dxa" w:w="3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Yes</w:t>
            </w:r>
          </w:p>
        </w:tc>
        <w:tc>
          <w:tcPr>
            <w:tcW w:type="dxa" w:w="3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Module 9, instructor-led, about 2 hr 50 min</w:t>
            </w:r>
          </w:p>
        </w:tc>
      </w:tr>
      <w:tr>
        <w:trPr>
          <w:cantSplit/>
        </w:trPr>
        <w:tc>
          <w:tcPr>
            <w:tcW w:type="dxa" w:w="4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Referral to one-on-one counseling</w:t>
            </w:r>
          </w:p>
        </w:tc>
        <w:tc>
          <w:tcPr>
            <w:tcW w:type="dxa" w:w="3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Per agency policy</w:t>
            </w:r>
          </w:p>
        </w:tc>
        <w:tc>
          <w:tcPr>
            <w:tcW w:type="dxa" w:w="3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Record if made</w:t>
            </w:r>
          </w:p>
        </w:tc>
      </w:tr>
    </w:tbl>
    <w:p>
      <w:r>
        <w:br w:type="page"/>
      </w:r>
    </w:p>
    <w:p>
      <w:pPr>
        <w:pStyle w:val="Heading1"/>
        <w:keepNext/>
      </w:pPr>
      <w:r>
        <w:t xml:space="preserve">Appendix C: Participant evaluation form</w:t>
      </w:r>
    </w:p>
    <w:p>
      <w:pPr>
        <w:spacing w:after="100" w:before="0"/>
      </w:pPr>
      <w:r>
        <w:rPr>
          <w:sz w:val="22"/>
          <w:szCs w:val="22"/>
        </w:rPr>
        <w:t xml:space="preserve">Rate each statement from 1 (strongly disagree) to 5 (strongly agree).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6800"/>
        <w:gridCol w:w="3280"/>
      </w:tblGrid>
      <w:tr>
        <w:trPr>
          <w:tblHeader/>
        </w:trPr>
        <w:tc>
          <w:tcPr>
            <w:tcW w:type="dxa" w:w="68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Statement</w:t>
            </w:r>
          </w:p>
        </w:tc>
        <w:tc>
          <w:tcPr>
            <w:tcW w:type="dxa" w:w="328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1   2   3   4   5</w:t>
            </w:r>
          </w:p>
        </w:tc>
      </w:tr>
      <w:tr>
        <w:trPr>
          <w:cantSplit/>
        </w:trPr>
        <w:tc>
          <w:tcPr>
            <w:tcW w:type="dxa" w:w="6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The instructor explained the material clearly and respectfully.</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  ☐  ☐  ☐</w:t>
            </w:r>
          </w:p>
        </w:tc>
      </w:tr>
      <w:tr>
        <w:trPr>
          <w:cantSplit/>
        </w:trPr>
        <w:tc>
          <w:tcPr>
            <w:tcW w:type="dxa" w:w="6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The workbook helped me follow along.</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  ☐  ☐  ☐</w:t>
            </w:r>
          </w:p>
        </w:tc>
      </w:tr>
      <w:tr>
        <w:trPr>
          <w:cantSplit/>
        </w:trPr>
        <w:tc>
          <w:tcPr>
            <w:tcW w:type="dxa" w:w="6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I know the first three calls to make.</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  ☐  ☐  ☐</w:t>
            </w:r>
          </w:p>
        </w:tc>
      </w:tr>
      <w:tr>
        <w:trPr>
          <w:cantSplit/>
        </w:trPr>
        <w:tc>
          <w:tcPr>
            <w:tcW w:type="dxa" w:w="6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I can describe the main options for keeping my home.</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  ☐  ☐  ☐</w:t>
            </w:r>
          </w:p>
        </w:tc>
      </w:tr>
      <w:tr>
        <w:trPr>
          <w:cantSplit/>
        </w:trPr>
        <w:tc>
          <w:tcPr>
            <w:tcW w:type="dxa" w:w="6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I can spot the red flags of a foreclosure rescue scam.</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  ☐  ☐  ☐</w:t>
            </w:r>
          </w:p>
        </w:tc>
      </w:tr>
      <w:tr>
        <w:trPr>
          <w:cantSplit/>
        </w:trPr>
        <w:tc>
          <w:tcPr>
            <w:tcW w:type="dxa" w:w="6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The pace and length of the class were right for me.</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  ☐  ☐  ☐</w:t>
            </w:r>
          </w:p>
        </w:tc>
      </w:tr>
      <w:tr>
        <w:trPr>
          <w:cantSplit/>
        </w:trPr>
        <w:tc>
          <w:tcPr>
            <w:tcW w:type="dxa" w:w="6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I would recommend this class to a friend.</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  ☐  ☐  ☐</w:t>
            </w:r>
          </w:p>
        </w:tc>
      </w:tr>
    </w:tbl>
    <w:p>
      <w:pPr>
        <w:spacing w:after="80"/>
      </w:pPr>
    </w:p>
    <w:p>
      <w:pPr>
        <w:spacing w:after="100" w:before="0"/>
      </w:pPr>
      <w:r>
        <w:rPr>
          <w:sz w:val="22"/>
          <w:szCs w:val="22"/>
        </w:rPr>
        <w:t xml:space="preserve">What was most helpful? ____________________________________________________________</w:t>
      </w:r>
    </w:p>
    <w:p>
      <w:pPr>
        <w:spacing w:after="100" w:before="0"/>
      </w:pPr>
      <w:r>
        <w:rPr>
          <w:sz w:val="22"/>
          <w:szCs w:val="22"/>
        </w:rPr>
        <w:t xml:space="preserve">What should we change? ____________________________________________________________</w:t>
      </w:r>
    </w:p>
    <w:p>
      <w:pPr>
        <w:spacing w:after="100" w:before="0"/>
      </w:pPr>
      <w:r>
        <w:rPr>
          <w:sz w:val="22"/>
          <w:szCs w:val="22"/>
        </w:rPr>
        <w:t xml:space="preserve">I would like a follow-up from a housing counselor:  Yes  /  No   Contact: ______________________</w:t>
      </w:r>
    </w:p>
    <w:p>
      <w:pPr>
        <w:pStyle w:val="Heading1"/>
        <w:keepNext/>
      </w:pPr>
      <w:r>
        <w:t xml:space="preserve">Appendix D: Certificate of completion text</w:t>
      </w:r>
    </w:p>
    <w:p>
      <w:pPr>
        <w:spacing w:after="100" w:before="0"/>
      </w:pPr>
      <w:r>
        <w:rPr>
          <w:sz w:val="22"/>
          <w:szCs w:val="22"/>
        </w:rPr>
        <w:t xml:space="preserve">Place this on agency letterhead or a branded template.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120" w:before="200"/>
              <w:jc w:val="center"/>
            </w:pPr>
            <w:r>
              <w:rPr>
                <w:b/>
                <w:bCs/>
                <w:color w:val="990000"/>
                <w:sz w:val="30"/>
                <w:szCs w:val="30"/>
              </w:rPr>
              <w:t xml:space="preserve">CERTIFICATE OF COMPLETION</w:t>
            </w:r>
          </w:p>
          <w:p>
            <w:pPr>
              <w:spacing w:after="60"/>
              <w:jc w:val="center"/>
            </w:pPr>
            <w:r>
              <w:rPr>
                <w:sz w:val="22"/>
                <w:szCs w:val="22"/>
              </w:rPr>
              <w:t xml:space="preserve">This certifies that</w:t>
            </w:r>
          </w:p>
          <w:p>
            <w:pPr>
              <w:spacing w:after="60"/>
              <w:jc w:val="center"/>
            </w:pPr>
            <w:r>
              <w:rPr>
                <w:sz w:val="26"/>
                <w:szCs w:val="26"/>
              </w:rPr>
              <w:t xml:space="preserve">______________________________</w:t>
            </w:r>
          </w:p>
          <w:p>
            <w:pPr>
              <w:spacing w:after="60"/>
              <w:jc w:val="center"/>
            </w:pPr>
            <w:r>
              <w:rPr>
                <w:b/>
                <w:bCs/>
                <w:sz w:val="22"/>
                <w:szCs w:val="22"/>
              </w:rPr>
              <w:t xml:space="preserve">has completed Module 9: Behind on Your Mortgage? Avoiding Foreclosure</w:t>
            </w:r>
          </w:p>
          <w:p>
            <w:pPr>
              <w:spacing w:after="60"/>
              <w:jc w:val="center"/>
            </w:pPr>
            <w:r>
              <w:rPr>
                <w:sz w:val="22"/>
                <w:szCs w:val="22"/>
              </w:rPr>
              <w:t xml:space="preserve">Homeownership education, about 2 hours 50 minutes, instructor-led</w:t>
            </w:r>
          </w:p>
          <w:p>
            <w:pPr>
              <w:spacing w:after="200"/>
              <w:jc w:val="center"/>
            </w:pPr>
            <w:r>
              <w:rPr>
                <w:sz w:val="22"/>
                <w:szCs w:val="22"/>
              </w:rPr>
              <w:t xml:space="preserve">Date: ____________      Instructor: ____________________</w:t>
            </w:r>
          </w:p>
        </w:tc>
      </w:tr>
    </w:tbl>
    <w:p>
      <w:r>
        <w:br w:type="page"/>
      </w:r>
    </w:p>
    <w:p>
      <w:pPr>
        <w:pStyle w:val="Heading1"/>
        <w:keepNext/>
      </w:pPr>
      <w:r>
        <w:t xml:space="preserve">Appendix E: Volunteer orientation checklist</w:t>
      </w:r>
    </w:p>
    <w:p>
      <w:pPr>
        <w:spacing w:after="100" w:before="0"/>
      </w:pPr>
      <w:r>
        <w:rPr>
          <w:sz w:val="22"/>
          <w:szCs w:val="22"/>
        </w:rPr>
        <w:t xml:space="preserve">Review with every volunteer before their first class.</w:t>
      </w:r>
    </w:p>
    <w:p>
      <w:pPr>
        <w:spacing w:after="50"/>
      </w:pPr>
      <w:r>
        <w:rPr>
          <w:sz w:val="22"/>
          <w:szCs w:val="22"/>
        </w:rPr>
        <w:t xml:space="preserve">☐  Read this guide and the ground rules</w:t>
      </w:r>
    </w:p>
    <w:p>
      <w:pPr>
        <w:spacing w:after="50"/>
      </w:pPr>
      <w:r>
        <w:rPr>
          <w:sz w:val="22"/>
          <w:szCs w:val="22"/>
        </w:rPr>
        <w:t xml:space="preserve">☐  Watch the slide deck with notes</w:t>
      </w:r>
    </w:p>
    <w:p>
      <w:pPr>
        <w:spacing w:after="50"/>
      </w:pPr>
      <w:r>
        <w:rPr>
          <w:sz w:val="22"/>
          <w:szCs w:val="22"/>
        </w:rPr>
        <w:t xml:space="preserve">☐  Understand you are an educator and cannot give individual legal, loan or tax advice</w:t>
      </w:r>
    </w:p>
    <w:p>
      <w:pPr>
        <w:spacing w:after="50"/>
      </w:pPr>
      <w:r>
        <w:rPr>
          <w:sz w:val="22"/>
          <w:szCs w:val="22"/>
        </w:rPr>
        <w:t xml:space="preserve">☐  Know how to refer participants to a HUD-approved counselor, legal aid and the HOPE Hotline</w:t>
      </w:r>
    </w:p>
    <w:p>
      <w:pPr>
        <w:spacing w:after="50"/>
      </w:pPr>
      <w:r>
        <w:rPr>
          <w:sz w:val="22"/>
          <w:szCs w:val="22"/>
        </w:rPr>
        <w:t xml:space="preserve">☐  Know what personal information you must never collect</w:t>
      </w:r>
    </w:p>
    <w:p>
      <w:pPr>
        <w:spacing w:after="50"/>
      </w:pPr>
      <w:r>
        <w:rPr>
          <w:sz w:val="22"/>
          <w:szCs w:val="22"/>
        </w:rPr>
        <w:t xml:space="preserve">☐  Know how to respond to a participant in distress, including the 988 Lifeline</w:t>
      </w:r>
    </w:p>
    <w:p>
      <w:pPr>
        <w:spacing w:after="50"/>
      </w:pPr>
      <w:r>
        <w:rPr>
          <w:sz w:val="22"/>
          <w:szCs w:val="22"/>
        </w:rPr>
        <w:t xml:space="preserve">☐  Know your agency's complaint and incident procedure</w:t>
      </w:r>
    </w:p>
    <w:p>
      <w:pPr>
        <w:spacing w:after="50"/>
      </w:pPr>
      <w:r>
        <w:rPr>
          <w:sz w:val="22"/>
          <w:szCs w:val="22"/>
        </w:rPr>
        <w:t xml:space="preserve">☐  Sign your agency's code of conduct, including conflict of interest disclosure</w:t>
      </w:r>
    </w:p>
    <w:p>
      <w:pPr>
        <w:pStyle w:val="Heading1"/>
        <w:keepNext/>
      </w:pPr>
      <w:r>
        <w:t xml:space="preserve">Appendix F: Worked examples for the workbook</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800"/>
        <w:gridCol w:w="7280"/>
      </w:tblGrid>
      <w:tr>
        <w:trPr>
          <w:tblHeader/>
        </w:trPr>
        <w:tc>
          <w:tcPr>
            <w:tcW w:type="dxa" w:w="28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Worksheet</w:t>
            </w:r>
          </w:p>
        </w:tc>
        <w:tc>
          <w:tcPr>
            <w:tcW w:type="dxa" w:w="728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Worked example</w:t>
            </w:r>
          </w:p>
        </w:tc>
      </w:tr>
      <w:tr>
        <w:trPr>
          <w:cantSplit/>
        </w:trPr>
        <w:tc>
          <w:tcPr>
            <w:tcW w:type="dxa" w:w="28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A. Risk check and call log</w:t>
            </w:r>
          </w:p>
        </w:tc>
        <w:tc>
          <w:tcPr>
            <w:tcW w:type="dxa" w:w="7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Sample log entry: March 12, called servicer loss mitigation, spoke with Pat, ref 4471. Application packet to be mailed. Due April 2. Asked for written confirmation of the date.</w:t>
            </w:r>
          </w:p>
        </w:tc>
      </w:tr>
      <w:tr>
        <w:trPr>
          <w:cantSplit/>
        </w:trPr>
        <w:tc>
          <w:tcPr>
            <w:tcW w:type="dxa" w:w="28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B. Options comparison</w:t>
            </w:r>
          </w:p>
        </w:tc>
        <w:tc>
          <w:tcPr>
            <w:tcW w:type="dxa" w:w="7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Option: modification. New payment lower than current. Balance at end: higher by the amount capitalized. Credit effect: ask. Lasts: permanent. Taxes: ask a tax professional.</w:t>
            </w:r>
          </w:p>
        </w:tc>
      </w:tr>
      <w:tr>
        <w:trPr>
          <w:cantSplit/>
        </w:trPr>
        <w:tc>
          <w:tcPr>
            <w:tcW w:type="dxa" w:w="28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C. My loan profile</w:t>
            </w:r>
          </w:p>
        </w:tc>
        <w:tc>
          <w:tcPr>
            <w:tcW w:type="dxa" w:w="7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Servicer and phone, last 4 digits of loan number, payment, number behind, loan type. Questions circled: documents and deadline, point of contact.</w:t>
            </w:r>
          </w:p>
        </w:tc>
      </w:tr>
      <w:tr>
        <w:trPr>
          <w:cantSplit/>
        </w:trPr>
        <w:tc>
          <w:tcPr>
            <w:tcW w:type="dxa" w:w="28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D. Timeline tracker</w:t>
            </w:r>
          </w:p>
        </w:tc>
        <w:tc>
          <w:tcPr>
            <w:tcW w:type="dxa" w:w="7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See the example dates in Lesson 9.4.</w:t>
            </w:r>
          </w:p>
        </w:tc>
      </w:tr>
      <w:tr>
        <w:trPr>
          <w:cantSplit/>
        </w:trPr>
        <w:tc>
          <w:tcPr>
            <w:tcW w:type="dxa" w:w="28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E. Scam screen</w:t>
            </w:r>
          </w:p>
        </w:tc>
        <w:tc>
          <w:tcPr>
            <w:tcW w:type="dxa" w:w="7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See the red flags table in Lesson 9.5.</w:t>
            </w:r>
          </w:p>
        </w:tc>
      </w:tr>
    </w:tbl>
    <w:p>
      <w:pPr>
        <w:pStyle w:val="Heading1"/>
        <w:keepNext/>
      </w:pPr>
      <w:r>
        <w:t xml:space="preserve">Appendix H: Check before every class</w:t>
      </w:r>
    </w:p>
    <w:p>
      <w:pPr>
        <w:spacing w:after="100" w:before="0"/>
      </w:pPr>
      <w:r>
        <w:rPr>
          <w:sz w:val="22"/>
          <w:szCs w:val="22"/>
        </w:rPr>
        <w:t xml:space="preserve">These change. Confirm each before you teach and update your slides if needed.</w:t>
      </w:r>
    </w:p>
    <w:p>
      <w:pPr>
        <w:spacing w:after="50"/>
      </w:pPr>
      <w:r>
        <w:rPr>
          <w:sz w:val="22"/>
          <w:szCs w:val="22"/>
        </w:rPr>
        <w:t xml:space="preserve">☐  HOPE Hotline number and hours: 888-995-HOPE (4673), 995hope.org</w:t>
      </w:r>
    </w:p>
    <w:p>
      <w:pPr>
        <w:spacing w:after="50"/>
      </w:pPr>
      <w:r>
        <w:rPr>
          <w:sz w:val="22"/>
          <w:szCs w:val="22"/>
        </w:rPr>
        <w:t xml:space="preserve">☐  FHA loss mitigation rules: current HUD Mortgagee Letters, including 2026 trial payment plan updates and any new partial claim options</w:t>
      </w:r>
    </w:p>
    <w:p>
      <w:pPr>
        <w:spacing w:after="50"/>
      </w:pPr>
      <w:r>
        <w:rPr>
          <w:sz w:val="22"/>
          <w:szCs w:val="22"/>
        </w:rPr>
        <w:t xml:space="preserve">☐  VA Partial Claim Program: current status, servicer implementation date, and VA hotline number</w:t>
      </w:r>
    </w:p>
    <w:p>
      <w:pPr>
        <w:spacing w:after="50"/>
      </w:pPr>
      <w:r>
        <w:rPr>
          <w:sz w:val="22"/>
          <w:szCs w:val="22"/>
        </w:rPr>
        <w:t xml:space="preserve">☐  USDA and Fannie Mae and Freddie Mac loss mitigation options</w:t>
      </w:r>
    </w:p>
    <w:p>
      <w:pPr>
        <w:spacing w:after="50"/>
      </w:pPr>
      <w:r>
        <w:rPr>
          <w:sz w:val="22"/>
          <w:szCs w:val="22"/>
        </w:rPr>
        <w:t xml:space="preserve">☐  Regulation X servicing protections: the 120-day rule, 37-day dual tracking window, 30-day evaluation, 90-day appeal</w:t>
      </w:r>
    </w:p>
    <w:p>
      <w:pPr>
        <w:spacing w:after="50"/>
      </w:pPr>
      <w:r>
        <w:rPr>
          <w:sz w:val="22"/>
          <w:szCs w:val="22"/>
        </w:rPr>
        <w:t xml:space="preserve">☐  Foreclosure process and timelines for the state where you teach, including any recent legislation</w:t>
      </w:r>
    </w:p>
    <w:p>
      <w:pPr>
        <w:spacing w:after="50"/>
      </w:pPr>
      <w:r>
        <w:rPr>
          <w:sz w:val="22"/>
          <w:szCs w:val="22"/>
        </w:rPr>
        <w:t xml:space="preserve">☐  CFPB and FTC complaint and report links</w:t>
      </w:r>
    </w:p>
    <w:p>
      <w:pPr>
        <w:spacing w:after="50"/>
      </w:pPr>
      <w:r>
        <w:rPr>
          <w:sz w:val="22"/>
          <w:szCs w:val="22"/>
        </w:rPr>
        <w:t xml:space="preserve">☐  Local HUD-approved counseling agencies and legal aid offices</w:t>
      </w:r>
    </w:p>
    <w:p>
      <w:pPr>
        <w:spacing w:after="50"/>
      </w:pPr>
      <w:r>
        <w:rPr>
          <w:sz w:val="22"/>
          <w:szCs w:val="22"/>
        </w:rPr>
        <w:t xml:space="preserve">☐  Any updates to the Learn module online</w:t>
      </w:r>
    </w:p>
    <w:p>
      <w:pPr>
        <w:spacing w:after="80"/>
      </w:pPr>
    </w:p>
    <w:p>
      <w:pPr>
        <w:spacing w:after="100" w:before="0"/>
      </w:pPr>
      <w:r>
        <w:rPr>
          <w:i/>
          <w:iCs/>
          <w:color w:val="555555"/>
          <w:sz w:val="20"/>
          <w:szCs w:val="20"/>
        </w:rPr>
        <w:t xml:space="preserve">Source note: HUD-approved counseling agencies must follow HUD program requirements. This guide is aligned to the National Industry Standards for post-purchase delinquency and default resolution content, but is not itself an approval or certification.</w:t>
      </w:r>
    </w:p>
    <w:sectPr>
      <w:headerReference w:type="default" r:id="rId7"/>
      <w:footerReference w:type="default" r:id="rId8"/>
      <w:pgSz w:w="12240" w:h="15840" w:orient="portrait"/>
      <w:pgMar w:top="1260" w:right="1080" w:bottom="126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Educational use only. Verify current requirements.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color w:val="888888"/>
        <w:sz w:val="16"/>
        <w:szCs w:val="16"/>
      </w:rPr>
      <w:t xml:space="preserve">Your Mortgage Toolbox  |  Module 9 Facilitator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60"/>
      </w:pPr>
    </w:lvl>
  </w:abstractNum>
  <w:abstractNum w:abstractNumId="4" w15:restartNumberingAfterBreak="0">
    <w:multiLevelType w:val="hybridMultilevel"/>
    <w:lvl w:ilvl="0" w15:tentative="1">
      <w:start w:val="1"/>
      <w:numFmt w:val="decimal"/>
      <w:lvlText w:val="%1."/>
      <w:lvlJc w:val="left"/>
      <w:pPr>
        <w:ind w:left="540" w:hanging="360"/>
      </w:pPr>
    </w:lvl>
  </w:abstractNum>
  <w:abstractNum w:abstractNumId="5" w15:restartNumberingAfterBreak="0">
    <w:multiLevelType w:val="hybridMultilevel"/>
    <w:lvl w:ilvl="0" w15:tentative="1">
      <w:start w:val="1"/>
      <w:numFmt w:val="decimal"/>
      <w:lvlText w:val="%1."/>
      <w:lvlJc w:val="left"/>
      <w:pPr>
        <w:ind w:left="540" w:hanging="360"/>
      </w:pPr>
    </w:lvl>
  </w:abstractNum>
  <w:abstractNum w:abstractNumId="6" w15:restartNumberingAfterBreak="0">
    <w:multiLevelType w:val="hybridMultilevel"/>
    <w:lvl w:ilvl="0" w15:tentative="1">
      <w:start w:val="1"/>
      <w:numFmt w:val="decimal"/>
      <w:lvlText w:val="%1."/>
      <w:lvlJc w:val="left"/>
      <w:pPr>
        <w:ind w:left="540" w:hanging="360"/>
      </w:pPr>
    </w:lvl>
  </w:abstractNum>
  <w:abstractNum w:abstractNumId="7"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4"/>
    <w:lvlOverride w:ilvl="0">
      <w:startOverride w:val="1"/>
    </w:lvlOverride>
  </w:num>
  <w:num w:numId="3">
    <w:abstractNumId w:val="2"/>
    <w:lvlOverride w:ilvl="0">
      <w:startOverride w:val="1"/>
    </w:lvlOverride>
  </w:num>
  <w:num w:numId="4">
    <w:abstractNumId w:val="5"/>
    <w:lvlOverride w:ilvl="0">
      <w:startOverride w:val="1"/>
    </w:lvlOverride>
  </w:num>
  <w:num w:numId="5">
    <w:abstractNumId w:val="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40" w:before="280"/>
      <w:outlineLvl w:val="0"/>
    </w:pPr>
    <w:rPr>
      <w:rFonts w:ascii="Calibri" w:cs="Calibri" w:eastAsia="Calibri" w:hAnsi="Calibri"/>
      <w:b/>
      <w:bCs/>
      <w:color w:val="990000"/>
      <w:sz w:val="34"/>
      <w:szCs w:val="34"/>
    </w:rPr>
  </w:style>
  <w:style w:type="paragraph" w:styleId="Heading2">
    <w:name w:val="Heading 2"/>
    <w:basedOn w:val="Normal"/>
    <w:next w:val="Normal"/>
    <w:qFormat/>
    <w:pPr>
      <w:spacing w:after="120" w:before="120"/>
      <w:outlineLvl w:val="1"/>
    </w:pPr>
    <w:rPr>
      <w:rFonts w:ascii="Calibri" w:cs="Calibri" w:eastAsia="Calibri" w:hAnsi="Calibri"/>
      <w:b/>
      <w:bCs/>
      <w:color w:val="990000"/>
      <w:sz w:val="30"/>
      <w:szCs w:val="30"/>
    </w:rPr>
  </w:style>
  <w:style w:type="paragraph" w:styleId="Heading3">
    <w:name w:val="Heading 3"/>
    <w:basedOn w:val="Normal"/>
    <w:next w:val="Normal"/>
    <w:qFormat/>
    <w:pPr>
      <w:spacing w:after="70" w:before="180"/>
      <w:outlineLvl w:val="2"/>
    </w:pPr>
    <w:rPr>
      <w:rFonts w:ascii="Calibri" w:cs="Calibri" w:eastAsia="Calibri" w:hAnsi="Calibri"/>
      <w:b/>
      <w:bCs/>
      <w:color w:val="222222"/>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Module 9 Facilitator Guide</dc:title>
  <dc:creator>Your Mortgage Toolbox</dc:creator>
  <cp:lastModifiedBy>Un-named</cp:lastModifiedBy>
  <cp:revision>1</cp:revision>
  <dcterms:created xsi:type="dcterms:W3CDTF">2026-10-06T02:03:31.773Z</dcterms:created>
  <dcterms:modified xsi:type="dcterms:W3CDTF">2026-10-06T02:03:31.774Z</dcterms:modified>
</cp:coreProperties>
</file>

<file path=docProps/custom.xml><?xml version="1.0" encoding="utf-8"?>
<Properties xmlns="http://schemas.openxmlformats.org/officeDocument/2006/custom-properties" xmlns:vt="http://schemas.openxmlformats.org/officeDocument/2006/docPropsVTypes"/>
</file>