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400"/>
      </w:pPr>
      <w:r>
        <w:rPr>
          <w:b/>
          <w:bCs/>
          <w:color w:val="990000"/>
          <w:sz w:val="20"/>
          <w:szCs w:val="20"/>
        </w:rPr>
        <w:t xml:space="preserve">YOUR MORTGAGE TOOLBOX  |  HOMEOWNERSHIP LEARNING PROGRAM</w:t>
      </w:r>
    </w:p>
    <w:p>
      <w:pPr>
        <w:spacing w:after="80"/>
      </w:pPr>
      <w:r>
        <w:rPr>
          <w:b/>
          <w:bCs/>
          <w:color w:val="990000"/>
          <w:sz w:val="56"/>
          <w:szCs w:val="56"/>
        </w:rPr>
        <w:t xml:space="preserve">Module 6 Facilitator Guide</w:t>
      </w:r>
    </w:p>
    <w:p>
      <w:pPr>
        <w:spacing w:after="200"/>
      </w:pPr>
      <w:r>
        <w:rPr>
          <w:sz w:val="32"/>
          <w:szCs w:val="32"/>
        </w:rPr>
        <w:t xml:space="preserve">The True Cost of Homeownership</w:t>
      </w:r>
    </w:p>
    <w:p>
      <w:pPr>
        <w:spacing w:after="200" w:before="0"/>
      </w:pPr>
      <w:r>
        <w:rPr>
          <w:sz w:val="22"/>
          <w:szCs w:val="22"/>
        </w:rPr>
        <w:t xml:space="preserve">For volunteers, housing counseling agency staff, credit union and nonprofit educators, and anyone teaching this module to a group. Pair this guide with the Module 6 slide deck and the Module 6 consumer workbook.</w:t>
      </w:r>
    </w:p>
    <w:p>
      <w:pPr>
        <w:pStyle w:val="Heading2"/>
        <w:keepNext/>
      </w:pPr>
      <w:r>
        <w:t xml:space="preserve">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2200"/>
        <w:gridCol w:w="7880"/>
      </w:tblGrid>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Audience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Prospective and current homebuyers who want to understand this topic. No prior knowledge needed.</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Format</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Instructor-led group class with slides, discussion and individual worksheets. Can be split into two sessions.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Length</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About 3 hours 15 minutes including a 10 minute break.</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Group size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8 to 25 participants works well. Larger groups need a second facilitator for the worksheet portions.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Materials</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Printed or digital workbooks, slide deck, projector, pens, sign-in sheet, evaluation forms, calculators or phones.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Your prep time</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About 90 minutes: read this guide, review the slides and notes, verify the items in Appendix H, and print materials.</w:t>
            </w:r>
          </w:p>
        </w:tc>
      </w:tr>
      <w:tr>
        <w:trPr>
          <w:cantSplit/>
        </w:trPr>
        <w:tc>
          <w:tcPr>
            <w:tcW w:type="dxa" w:w="22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Source content</w:t>
            </w:r>
          </w:p>
        </w:tc>
        <w:tc>
          <w:tcPr>
            <w:tcW w:type="dxa" w:w="78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Module 6 at yourmortgagetoolbox.com/learn/true-cost-of-homeownership/. Teach from the same numbers and wording so participants who read online hear the same message.</w:t>
            </w:r>
          </w:p>
        </w:tc>
      </w:tr>
    </w:tbl>
    <w:p>
      <w:pPr>
        <w:spacing w:after="80"/>
      </w:pP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Educational use only</w:t>
            </w:r>
          </w:p>
          <w:p>
            <w:pPr>
              <w:spacing w:after="50"/>
            </w:pPr>
            <w:r>
              <w:rPr>
                <w:sz w:val="21"/>
                <w:szCs w:val="21"/>
              </w:rPr>
              <w:t xml:space="preserve">Your Mortgage Toolbox is not a lender, broker or financial advisor. Rates, fees, program rules and tax rules change. Verify the items in Appendix H before every class and tell participants that numbers are general guidelines or examples.</w:t>
            </w:r>
          </w:p>
        </w:tc>
      </w:tr>
    </w:tbl>
    <w:p>
      <w:r>
        <w:br w:type="page"/>
      </w:r>
    </w:p>
    <w:p>
      <w:pPr>
        <w:pStyle w:val="Heading1"/>
        <w:keepNext/>
      </w:pPr>
      <w:r>
        <w:t xml:space="preserve">Learning objectives</w:t>
      </w:r>
    </w:p>
    <w:p>
      <w:pPr>
        <w:spacing w:after="100" w:before="0"/>
      </w:pPr>
      <w:r>
        <w:rPr>
          <w:sz w:val="22"/>
          <w:szCs w:val="22"/>
        </w:rPr>
        <w:t xml:space="preserve">By the end of this module, participants will be able to explain:</w:t>
      </w:r>
    </w:p>
    <w:p>
      <w:pPr>
        <w:pStyle w:val="ListParagraph"/>
        <w:numPr>
          <w:ilvl w:val="0"/>
          <w:numId w:val="2"/>
        </w:numPr>
        <w:spacing w:after="60"/>
      </w:pPr>
      <w:r>
        <w:rPr>
          <w:sz w:val="22"/>
          <w:szCs w:val="22"/>
        </w:rPr>
        <w:t xml:space="preserve">Beyond the Mortgage Payment: Your Full Monthly Budget</w:t>
      </w:r>
    </w:p>
    <w:p>
      <w:pPr>
        <w:pStyle w:val="ListParagraph"/>
        <w:numPr>
          <w:ilvl w:val="0"/>
          <w:numId w:val="2"/>
        </w:numPr>
        <w:spacing w:after="60"/>
      </w:pPr>
      <w:r>
        <w:rPr>
          <w:sz w:val="22"/>
          <w:szCs w:val="22"/>
        </w:rPr>
        <w:t xml:space="preserve">Property Taxes: What to Expect and How to Budget</w:t>
      </w:r>
    </w:p>
    <w:p>
      <w:pPr>
        <w:pStyle w:val="ListParagraph"/>
        <w:numPr>
          <w:ilvl w:val="0"/>
          <w:numId w:val="2"/>
        </w:numPr>
        <w:spacing w:after="60"/>
      </w:pPr>
      <w:r>
        <w:rPr>
          <w:sz w:val="22"/>
          <w:szCs w:val="22"/>
        </w:rPr>
        <w:t xml:space="preserve">Homeowners' Insurance: What It Covers and What It Doesn't</w:t>
      </w:r>
    </w:p>
    <w:p>
      <w:pPr>
        <w:pStyle w:val="ListParagraph"/>
        <w:numPr>
          <w:ilvl w:val="0"/>
          <w:numId w:val="2"/>
        </w:numPr>
        <w:spacing w:after="60"/>
      </w:pPr>
      <w:r>
        <w:rPr>
          <w:sz w:val="22"/>
          <w:szCs w:val="22"/>
        </w:rPr>
        <w:t xml:space="preserve">HOA Fees, Special Assessments, and Condo Living</w:t>
      </w:r>
    </w:p>
    <w:p>
      <w:pPr>
        <w:pStyle w:val="ListParagraph"/>
        <w:numPr>
          <w:ilvl w:val="0"/>
          <w:numId w:val="2"/>
        </w:numPr>
        <w:spacing w:after="60"/>
      </w:pPr>
      <w:r>
        <w:rPr>
          <w:sz w:val="22"/>
          <w:szCs w:val="22"/>
        </w:rPr>
        <w:t xml:space="preserve">Maintenance, Repairs, and Capital Expenditures</w:t>
      </w:r>
    </w:p>
    <w:p>
      <w:pPr>
        <w:pStyle w:val="ListParagraph"/>
        <w:numPr>
          <w:ilvl w:val="0"/>
          <w:numId w:val="2"/>
        </w:numPr>
        <w:spacing w:after="60"/>
      </w:pPr>
      <w:r>
        <w:rPr>
          <w:sz w:val="22"/>
          <w:szCs w:val="22"/>
        </w:rPr>
        <w:t xml:space="preserve">How to turn what they learned into a written action plan.</w:t>
      </w:r>
    </w:p>
    <w:p>
      <w:pPr>
        <w:pStyle w:val="Heading3"/>
        <w:keepNext/>
      </w:pPr>
      <w:r>
        <w:t xml:space="preserve">Standards alignment</w:t>
      </w:r>
    </w:p>
    <w:p>
      <w:pPr>
        <w:spacing w:after="100" w:before="0"/>
      </w:pPr>
      <w:r>
        <w:rPr>
          <w:sz w:val="22"/>
          <w:szCs w:val="22"/>
        </w:rPr>
        <w:t xml:space="preserve">This module supports the National Industry Standards education topics noted in the Learn program gap analysis. It is aligned to those standards but is not itself an approval or certification.</w:t>
      </w:r>
    </w:p>
    <w:p>
      <w:pPr>
        <w:pStyle w:val="Heading1"/>
        <w:keepNext/>
      </w:pPr>
      <w:r>
        <w:t xml:space="preserve">Before class</w:t>
      </w:r>
    </w:p>
    <w:p>
      <w:pPr>
        <w:pStyle w:val="Heading3"/>
        <w:keepNext/>
      </w:pPr>
      <w:r>
        <w:t xml:space="preserve">Room and materials checklist</w:t>
      </w:r>
    </w:p>
    <w:p>
      <w:pPr>
        <w:spacing w:after="50"/>
      </w:pPr>
      <w:r>
        <w:rPr>
          <w:sz w:val="22"/>
          <w:szCs w:val="22"/>
        </w:rPr>
        <w:t xml:space="preserve">☐  Slide deck loaded and tested, with speaker notes open on your device</w:t>
      </w:r>
    </w:p>
    <w:p>
      <w:pPr>
        <w:spacing w:after="50"/>
      </w:pPr>
      <w:r>
        <w:rPr>
          <w:sz w:val="22"/>
          <w:szCs w:val="22"/>
        </w:rPr>
        <w:t xml:space="preserve">☐  One workbook per participant (print double-sided, or send the fillable PDF ahead)</w:t>
      </w:r>
    </w:p>
    <w:p>
      <w:pPr>
        <w:spacing w:after="50"/>
      </w:pPr>
      <w:r>
        <w:rPr>
          <w:sz w:val="22"/>
          <w:szCs w:val="22"/>
        </w:rPr>
        <w:t xml:space="preserve">☐  Sign-in sheet and evaluation forms (Appendices B and C)</w:t>
      </w:r>
    </w:p>
    <w:p>
      <w:pPr>
        <w:spacing w:after="50"/>
      </w:pPr>
      <w:r>
        <w:rPr>
          <w:sz w:val="22"/>
          <w:szCs w:val="22"/>
        </w:rPr>
        <w:t xml:space="preserve">☐  Pens, a flip chart or whiteboard, tent cards for names</w:t>
      </w:r>
    </w:p>
    <w:p>
      <w:pPr>
        <w:spacing w:after="50"/>
      </w:pPr>
      <w:r>
        <w:rPr>
          <w:sz w:val="22"/>
          <w:szCs w:val="22"/>
        </w:rPr>
        <w:t xml:space="preserve">☐  Calculators or phones for the calculator activities</w:t>
      </w:r>
    </w:p>
    <w:p>
      <w:pPr>
        <w:spacing w:after="50"/>
      </w:pPr>
      <w:r>
        <w:rPr>
          <w:sz w:val="22"/>
          <w:szCs w:val="22"/>
        </w:rPr>
        <w:t xml:space="preserve">☐  Certificates of completion, if your agency issues them (Appendix D)</w:t>
      </w:r>
    </w:p>
    <w:p>
      <w:pPr>
        <w:spacing w:after="50"/>
      </w:pPr>
      <w:r>
        <w:rPr>
          <w:sz w:val="22"/>
          <w:szCs w:val="22"/>
        </w:rPr>
        <w:t xml:space="preserve">☐  A list of local HUD-approved housing counseling agencies for referrals (see hud.gov)</w:t>
      </w:r>
    </w:p>
    <w:p>
      <w:pPr>
        <w:pStyle w:val="Heading1"/>
        <w:keepNext/>
      </w:pPr>
      <w:r>
        <w:t xml:space="preserve">Facilitator ground rules and ethics</w:t>
      </w:r>
    </w:p>
    <w:p>
      <w:pPr>
        <w:spacing w:after="100" w:before="0"/>
      </w:pPr>
      <w:r>
        <w:rPr>
          <w:sz w:val="22"/>
          <w:szCs w:val="22"/>
        </w:rPr>
        <w:t xml:space="preserve">Whether you are a staff educator or a volunteer, these rules protect participants and you.</w:t>
      </w:r>
    </w:p>
    <w:p>
      <w:pPr>
        <w:pStyle w:val="ListParagraph"/>
        <w:numPr>
          <w:ilvl w:val="0"/>
          <w:numId w:val="3"/>
        </w:numPr>
        <w:spacing w:after="50"/>
      </w:pPr>
      <w:r>
        <w:rPr>
          <w:b/>
          <w:bCs/>
          <w:sz w:val="22"/>
          <w:szCs w:val="22"/>
        </w:rPr>
        <w:t xml:space="preserve">You are an educator, not a lender or advisor.</w:t>
      </w:r>
      <w:r>
        <w:rPr>
          <w:sz w:val="22"/>
          <w:szCs w:val="22"/>
        </w:rPr>
        <w:t xml:space="preserve"> Teach the concepts. Do not tell a participant which loan to get, whether to buy, or whether they will be approved.</w:t>
      </w:r>
    </w:p>
    <w:p>
      <w:pPr>
        <w:pStyle w:val="ListParagraph"/>
        <w:numPr>
          <w:ilvl w:val="0"/>
          <w:numId w:val="3"/>
        </w:numPr>
        <w:spacing w:after="50"/>
      </w:pPr>
      <w:r>
        <w:rPr>
          <w:b/>
          <w:bCs/>
          <w:sz w:val="22"/>
          <w:szCs w:val="22"/>
        </w:rPr>
        <w:t xml:space="preserve">Do not steer.</w:t>
      </w:r>
      <w:r>
        <w:rPr>
          <w:sz w:val="22"/>
          <w:szCs w:val="22"/>
        </w:rPr>
        <w:t xml:space="preserve"> Do not recommend a specific lender, agent or product. If participants ask for referrals, point to HUD-approved housing counseling agencies and your agency's referral list.</w:t>
      </w:r>
    </w:p>
    <w:p>
      <w:pPr>
        <w:pStyle w:val="ListParagraph"/>
        <w:numPr>
          <w:ilvl w:val="0"/>
          <w:numId w:val="3"/>
        </w:numPr>
        <w:spacing w:after="50"/>
      </w:pPr>
      <w:r>
        <w:rPr>
          <w:b/>
          <w:bCs/>
          <w:sz w:val="22"/>
          <w:szCs w:val="22"/>
        </w:rPr>
        <w:t xml:space="preserve">Protect privacy.</w:t>
      </w:r>
      <w:r>
        <w:rPr>
          <w:sz w:val="22"/>
          <w:szCs w:val="22"/>
        </w:rPr>
        <w:t xml:space="preserve"> Never collect or ask to see Social Security numbers, account numbers, passwords or full credit reports. Keep sign-in sheets and intake forms secure.</w:t>
      </w:r>
    </w:p>
    <w:p>
      <w:pPr>
        <w:pStyle w:val="ListParagraph"/>
        <w:numPr>
          <w:ilvl w:val="0"/>
          <w:numId w:val="3"/>
        </w:numPr>
        <w:spacing w:after="50"/>
      </w:pPr>
      <w:r>
        <w:rPr>
          <w:b/>
          <w:bCs/>
          <w:sz w:val="22"/>
          <w:szCs w:val="22"/>
        </w:rPr>
        <w:t xml:space="preserve">Treat everyone the same.</w:t>
      </w:r>
      <w:r>
        <w:rPr>
          <w:sz w:val="22"/>
          <w:szCs w:val="22"/>
        </w:rPr>
        <w:t xml:space="preserve"> Offer the same service, courtesy and information to every participant regardless of race, color, national origin, religion, sex, familial status, disability or any other protected characteristic.</w:t>
      </w:r>
    </w:p>
    <w:p>
      <w:pPr>
        <w:pStyle w:val="ListParagraph"/>
        <w:numPr>
          <w:ilvl w:val="0"/>
          <w:numId w:val="3"/>
        </w:numPr>
        <w:spacing w:after="50"/>
      </w:pPr>
      <w:r>
        <w:rPr>
          <w:b/>
          <w:bCs/>
          <w:sz w:val="22"/>
          <w:szCs w:val="22"/>
        </w:rPr>
        <w:t xml:space="preserve">Do not promise outcomes.</w:t>
      </w:r>
      <w:r>
        <w:rPr>
          <w:sz w:val="22"/>
          <w:szCs w:val="22"/>
        </w:rPr>
        <w:t xml:space="preserve"> Say what is typical and that results vary.</w:t>
      </w:r>
    </w:p>
    <w:p>
      <w:pPr>
        <w:pStyle w:val="ListParagraph"/>
        <w:numPr>
          <w:ilvl w:val="0"/>
          <w:numId w:val="3"/>
        </w:numPr>
        <w:spacing w:after="50"/>
      </w:pPr>
      <w:r>
        <w:rPr>
          <w:b/>
          <w:bCs/>
          <w:sz w:val="22"/>
          <w:szCs w:val="22"/>
        </w:rPr>
        <w:t xml:space="preserve">Do not give tax or legal advice.</w:t>
      </w:r>
      <w:r>
        <w:rPr>
          <w:sz w:val="22"/>
          <w:szCs w:val="22"/>
        </w:rPr>
        <w:t xml:space="preserve"> Explain the concept and refer participants to a qualified professional.</w:t>
      </w:r>
    </w:p>
    <w:p>
      <w:pPr>
        <w:pStyle w:val="ListParagraph"/>
        <w:numPr>
          <w:ilvl w:val="0"/>
          <w:numId w:val="3"/>
        </w:numPr>
        <w:spacing w:after="50"/>
      </w:pPr>
      <w:r>
        <w:rPr>
          <w:b/>
          <w:bCs/>
          <w:sz w:val="22"/>
          <w:szCs w:val="22"/>
        </w:rPr>
        <w:t xml:space="preserve">Refer for one-on-one help.</w:t>
      </w:r>
      <w:r>
        <w:rPr>
          <w:sz w:val="22"/>
          <w:szCs w:val="22"/>
        </w:rPr>
        <w:t xml:space="preserve"> Offer individual counseling with a HUD-approved housing counselor for personal questions.</w:t>
      </w:r>
    </w:p>
    <w:p>
      <w:pPr>
        <w:pStyle w:val="ListParagraph"/>
        <w:numPr>
          <w:ilvl w:val="0"/>
          <w:numId w:val="3"/>
        </w:numPr>
        <w:spacing w:after="50"/>
      </w:pPr>
      <w:r>
        <w:rPr>
          <w:b/>
          <w:bCs/>
          <w:sz w:val="22"/>
          <w:szCs w:val="22"/>
        </w:rPr>
        <w:t xml:space="preserve">Say "I do not know" when you do not.</w:t>
      </w:r>
      <w:r>
        <w:rPr>
          <w:sz w:val="22"/>
          <w:szCs w:val="22"/>
        </w:rPr>
        <w:t xml:space="preserve"> Offer to find out and follow up.</w:t>
      </w:r>
    </w:p>
    <w:p>
      <w:r>
        <w:br w:type="page"/>
      </w:r>
    </w:p>
    <w:p>
      <w:pPr>
        <w:pStyle w:val="Heading1"/>
        <w:keepNext/>
      </w:pPr>
      <w:r>
        <w:t xml:space="preserve">Agenda at a glance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100"/>
        <w:gridCol w:w="4500"/>
        <w:gridCol w:w="1700"/>
        <w:gridCol w:w="2780"/>
      </w:tblGrid>
      <w:tr>
        <w:trPr>
          <w:tblHeader/>
        </w:trPr>
        <w:tc>
          <w:tcPr>
            <w:tcW w:type="dxa" w:w="11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Min</w:t>
            </w:r>
          </w:p>
        </w:tc>
        <w:tc>
          <w:tcPr>
            <w:tcW w:type="dxa" w:w="45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Segment</w:t>
            </w:r>
          </w:p>
        </w:tc>
        <w:tc>
          <w:tcPr>
            <w:tcW w:type="dxa" w:w="17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Slides</w:t>
            </w:r>
          </w:p>
        </w:tc>
        <w:tc>
          <w:tcPr>
            <w:tcW w:type="dxa" w:w="27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Workbook</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Welcome, ground rules, pre-class survey</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 to 4</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Cover page</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6.1: Beyond the Mortgage Payment: Your Full Monthly Budget</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5 to 7</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2</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6.2: Property Taxes: What to Expect and How to Budget</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8 to 12</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3</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6.3: Homeowners' Insurance: What It Covers and What It Doesn't</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13 to 16</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4</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6.4: HOA Fees, Special Assessments, and Condo Living</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17 to 21</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5</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Lesson 6.5: Maintenance, Repairs, and Capital Expenditures</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22 to 25</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6</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Break</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Self-assessment quiz</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 26</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7</w:t>
            </w:r>
          </w:p>
        </w:tc>
      </w:tr>
      <w:tr>
        <w:trPr>
          <w:cantSplit/>
        </w:trPr>
        <w:tc>
          <w:tcPr>
            <w:tcW w:type="dxa" w:w="11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15</w:t>
            </w:r>
          </w:p>
        </w:tc>
        <w:tc>
          <w:tcPr>
            <w:tcW w:type="dxa" w:w="45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Action plan, wrap-up, evaluations, certificates</w:t>
            </w:r>
          </w:p>
        </w:tc>
        <w:tc>
          <w:tcPr>
            <w:tcW w:type="dxa" w:w="1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Slides 27 to 28</w:t>
            </w:r>
          </w:p>
        </w:tc>
        <w:tc>
          <w:tcPr>
            <w:tcW w:type="dxa" w:w="2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Page 8</w:t>
            </w:r>
          </w:p>
        </w:tc>
      </w:tr>
    </w:tbl>
    <w:p>
      <w:pPr>
        <w:spacing w:after="100" w:before="120"/>
      </w:pPr>
      <w:r>
        <w:rPr>
          <w:sz w:val="22"/>
          <w:szCs w:val="22"/>
        </w:rPr>
        <w:t xml:space="preserve">Total: 195 minutes. Place the break after the lesson nearest the middle. If you only have two hours, teach the lessons that matter most to your group live and assign the rest as homework with the workbook.</w:t>
      </w:r>
    </w:p>
    <w:p>
      <w:pPr>
        <w:pStyle w:val="Heading1"/>
        <w:keepNext/>
      </w:pPr>
      <w:r>
        <w:t xml:space="preserve">Welcome and setup (10 minutes)</w:t>
      </w:r>
    </w:p>
    <w:p>
      <w:pPr>
        <w:pStyle w:val="ListParagraph"/>
        <w:numPr>
          <w:ilvl w:val="0"/>
          <w:numId w:val="4"/>
        </w:numPr>
        <w:spacing w:after="60"/>
      </w:pPr>
      <w:r>
        <w:rPr>
          <w:sz w:val="22"/>
          <w:szCs w:val="22"/>
        </w:rPr>
        <w:t xml:space="preserve">Greet participants at the door. Hand out the workbook, a name tent and the pre-class survey (Appendix A). Have them sign in.</w:t>
      </w:r>
    </w:p>
    <w:p>
      <w:pPr>
        <w:pStyle w:val="ListParagraph"/>
        <w:numPr>
          <w:ilvl w:val="0"/>
          <w:numId w:val="4"/>
        </w:numPr>
        <w:spacing w:after="60"/>
      </w:pPr>
      <w:r>
        <w:rPr>
          <w:sz w:val="22"/>
          <w:szCs w:val="22"/>
        </w:rPr>
        <w:t xml:space="preserve">Introduce yourself and explain your role. State plainly that you are an educator, not a lender, and you will not collect personal financial details.</w:t>
      </w:r>
    </w:p>
    <w:p>
      <w:pPr>
        <w:pStyle w:val="ListParagraph"/>
        <w:numPr>
          <w:ilvl w:val="0"/>
          <w:numId w:val="4"/>
        </w:numPr>
        <w:spacing w:after="60"/>
      </w:pPr>
      <w:r>
        <w:rPr>
          <w:sz w:val="22"/>
          <w:szCs w:val="22"/>
        </w:rPr>
        <w:t xml:space="preserve">Set ground rules: questions welcome, no personal account details on the table, what is said here stays here.</w:t>
      </w:r>
    </w:p>
    <w:p>
      <w:pPr>
        <w:pStyle w:val="ListParagraph"/>
        <w:numPr>
          <w:ilvl w:val="0"/>
          <w:numId w:val="4"/>
        </w:numPr>
        <w:spacing w:after="60"/>
      </w:pPr>
      <w:r>
        <w:rPr>
          <w:sz w:val="22"/>
          <w:szCs w:val="22"/>
        </w:rPr>
        <w:t xml:space="preserve">Show the objectives slide and the lesson list. Point out the workbook pages that match each lesson.</w:t>
      </w:r>
    </w:p>
    <w:p>
      <w:r>
        <w:br w:type="page"/>
      </w:r>
    </w:p>
    <w:p>
      <w:pPr>
        <w:pStyle w:val="Heading2"/>
        <w:keepNext/>
      </w:pPr>
      <w:r>
        <w:t xml:space="preserve">Lesson 6.1: Beyond the Mortgage Payment: Your Full Monthly Budget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5 to 7</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2</w:t>
            </w:r>
          </w:p>
        </w:tc>
      </w:tr>
    </w:tbl>
    <w:p>
      <w:pPr>
        <w:spacing w:after="80"/>
      </w:pPr>
    </w:p>
    <w:p>
      <w:pPr>
        <w:pStyle w:val="Heading3"/>
        <w:keepNext/>
      </w:pPr>
      <w:r>
        <w:t xml:space="preserve">Key points</w:t>
      </w:r>
    </w:p>
    <w:p>
      <w:pPr>
        <w:spacing w:after="100" w:before="0"/>
      </w:pPr>
      <w:r>
        <w:rPr>
          <w:sz w:val="22"/>
          <w:szCs w:val="22"/>
        </w:rPr>
        <w:t xml:space="preserve">The most common financial mistake new homeowners make is budgeting based on their PITI payment and nothing else. The mortgage is your largest housing cost, but it's not your only one. A complete picture of monthly homeownership costs includes several line items that renters simply don't carry.</w:t>
      </w:r>
    </w:p>
    <w:p>
      <w:pPr>
        <w:pStyle w:val="ListParagraph"/>
        <w:numPr>
          <w:ilvl w:val="0"/>
          <w:numId w:val="3"/>
        </w:numPr>
        <w:spacing w:after="50"/>
      </w:pPr>
      <w:r>
        <w:rPr>
          <w:b/>
          <w:bCs/>
          <w:sz w:val="22"/>
          <w:szCs w:val="22"/>
        </w:rPr>
        <w:t xml:space="preserve">The Real Monthly Housing Budget.</w:t>
      </w:r>
      <w:r>
        <w:rPr>
          <w:sz w:val="22"/>
          <w:szCs w:val="22"/>
        </w:rPr>
        <w:t xml:space="preserve"> For a $375,000 home in a median-cost suburban market, a realistic full monthly budget looks like this:</w:t>
      </w:r>
    </w:p>
    <w:p>
      <w:pPr>
        <w:pStyle w:val="ListParagraph"/>
        <w:numPr>
          <w:ilvl w:val="1"/>
          <w:numId w:val="3"/>
        </w:numPr>
        <w:spacing w:after="40"/>
      </w:pPr>
      <w:r>
        <w:rPr>
          <w:sz w:val="22"/>
          <w:szCs w:val="22"/>
        </w:rPr>
        <w:t xml:space="preserve">Principal &amp; Interest (7%, 30-year, 5% down): ~$2,370</w:t>
      </w:r>
    </w:p>
    <w:p>
      <w:pPr>
        <w:pStyle w:val="ListParagraph"/>
        <w:numPr>
          <w:ilvl w:val="1"/>
          <w:numId w:val="3"/>
        </w:numPr>
        <w:spacing w:after="40"/>
      </w:pPr>
      <w:r>
        <w:rPr>
          <w:sz w:val="22"/>
          <w:szCs w:val="22"/>
        </w:rPr>
        <w:t xml:space="preserve">Property taxes (average 1.1% effective rate): ~$344</w:t>
      </w:r>
    </w:p>
    <w:p>
      <w:pPr>
        <w:pStyle w:val="ListParagraph"/>
        <w:numPr>
          <w:ilvl w:val="1"/>
          <w:numId w:val="3"/>
        </w:numPr>
        <w:spacing w:after="40"/>
      </w:pPr>
      <w:r>
        <w:rPr>
          <w:sz w:val="22"/>
          <w:szCs w:val="22"/>
        </w:rPr>
        <w:t xml:space="preserve">Homeowners' insurance: ~$150</w:t>
      </w:r>
    </w:p>
    <w:p>
      <w:pPr>
        <w:pStyle w:val="ListParagraph"/>
        <w:numPr>
          <w:ilvl w:val="1"/>
          <w:numId w:val="3"/>
        </w:numPr>
        <w:spacing w:after="40"/>
      </w:pPr>
      <w:r>
        <w:rPr>
          <w:sz w:val="22"/>
          <w:szCs w:val="22"/>
        </w:rPr>
        <w:t xml:space="preserve">PMI (1.16% with 5% down conventional): ~$344 (PMI rates vary based on credit score, loan amount, and insurer; this is a mid-range estimate)</w:t>
      </w:r>
    </w:p>
    <w:p>
      <w:pPr>
        <w:pStyle w:val="ListParagraph"/>
        <w:numPr>
          <w:ilvl w:val="0"/>
          <w:numId w:val="3"/>
        </w:numPr>
        <w:spacing w:after="50"/>
      </w:pPr>
      <w:r>
        <w:rPr>
          <w:b/>
          <w:bCs/>
          <w:sz w:val="22"/>
          <w:szCs w:val="22"/>
        </w:rPr>
        <w:t xml:space="preserve">The "True" Monthly Cost Is Not Fixed.</w:t>
      </w:r>
      <w:r>
        <w:rPr>
          <w:sz w:val="22"/>
          <w:szCs w:val="22"/>
        </w:rPr>
        <w:t xml:space="preserve"> The mortgage payment is fixed (for a fixed-rate loan). Property taxes are not.</w:t>
      </w:r>
    </w:p>
    <w:p>
      <w:pPr>
        <w:pStyle w:val="Heading3"/>
        <w:keepNext/>
      </w:pPr>
      <w:r>
        <w:t xml:space="preserve">Talk track</w:t>
      </w:r>
    </w:p>
    <w:p>
      <w:pPr>
        <w:spacing w:after="100" w:before="0"/>
      </w:pPr>
      <w:r>
        <w:rPr>
          <w:i/>
          <w:iCs/>
          <w:sz w:val="22"/>
          <w:szCs w:val="22"/>
        </w:rPr>
        <w:t xml:space="preserve">"The most common financial mistake new homeowners make is budgeting based on their PITI payment and nothing else."</w:t>
      </w:r>
    </w:p>
    <w:p>
      <w:pPr>
        <w:pStyle w:val="Heading3"/>
        <w:keepNext/>
      </w:pPr>
      <w:r>
        <w:t xml:space="preserve">Activity: Run it in the calculator (10 minutes)</w:t>
      </w:r>
    </w:p>
    <w:p>
      <w:pPr>
        <w:pStyle w:val="ListParagraph"/>
        <w:numPr>
          <w:ilvl w:val="0"/>
          <w:numId w:val="5"/>
        </w:numPr>
        <w:spacing w:after="60"/>
      </w:pPr>
      <w:r>
        <w:rPr>
          <w:sz w:val="22"/>
          <w:szCs w:val="22"/>
        </w:rPr>
        <w:t xml:space="preserve">Have participants open the Total Mortgage Payment &amp; Cash to Close Calculator at yourmortgagetoolbox.com on a phone or laptop.</w:t>
      </w:r>
    </w:p>
    <w:p>
      <w:pPr>
        <w:pStyle w:val="ListParagraph"/>
        <w:numPr>
          <w:ilvl w:val="0"/>
          <w:numId w:val="5"/>
        </w:numPr>
        <w:spacing w:after="60"/>
      </w:pPr>
      <w:r>
        <w:rPr>
          <w:sz w:val="22"/>
          <w:szCs w:val="22"/>
        </w:rPr>
        <w:t xml:space="preserve">Run one shared example together, then let each person run a scenario of their own. They do not need to share personal numbers.</w:t>
      </w:r>
    </w:p>
    <w:p>
      <w:pPr>
        <w:pStyle w:val="ListParagraph"/>
        <w:numPr>
          <w:ilvl w:val="0"/>
          <w:numId w:val="5"/>
        </w:numPr>
        <w:spacing w:after="60"/>
      </w:pPr>
      <w:r>
        <w:rPr>
          <w:sz w:val="22"/>
          <w:szCs w:val="22"/>
        </w:rPr>
        <w:t xml:space="preserve">Ask them to change one input and watch which results move most.</w:t>
      </w:r>
    </w:p>
    <w:p>
      <w:pPr>
        <w:pStyle w:val="ListParagraph"/>
        <w:numPr>
          <w:ilvl w:val="0"/>
          <w:numId w:val="5"/>
        </w:numPr>
        <w:spacing w:after="60"/>
      </w:pPr>
      <w:r>
        <w:rPr>
          <w:sz w:val="22"/>
          <w:szCs w:val="22"/>
        </w:rPr>
        <w:t xml:space="preserve">Participants record results on workbook page 2. Ask two or three volunteers to share what surprised them.</w:t>
      </w:r>
    </w:p>
    <w:p>
      <w:pPr>
        <w:spacing w:after="100" w:before="60"/>
      </w:pPr>
      <w:r>
        <w:rPr>
          <w:i/>
          <w:iCs/>
          <w:sz w:val="22"/>
          <w:szCs w:val="22"/>
        </w:rPr>
        <w:t xml:space="preserve">Do not tell anyone which loan, price or option to choose. Use the calculator to show how the pieces connect.</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The Real Monthly Housing Budget?"</w:t>
      </w:r>
    </w:p>
    <w:p>
      <w:pPr>
        <w:pStyle w:val="ListParagraph"/>
        <w:numPr>
          <w:ilvl w:val="0"/>
          <w:numId w:val="3"/>
        </w:numPr>
        <w:spacing w:after="50"/>
      </w:pPr>
      <w:r>
        <w:rPr>
          <w:sz w:val="22"/>
          <w:szCs w:val="22"/>
        </w:rPr>
        <w:t xml:space="preserve">"How does this apply to your own plans: The "True" Monthly Cost Is Not Fixed?"</w:t>
      </w:r>
    </w:p>
    <w:p>
      <w:r>
        <w:br w:type="page"/>
      </w:r>
    </w:p>
    <w:p>
      <w:pPr>
        <w:pStyle w:val="Heading2"/>
        <w:keepNext/>
      </w:pPr>
      <w:r>
        <w:t xml:space="preserve">Lesson 6.2: Property Taxes: What to Expect and How to Budget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8 to 12</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3</w:t>
            </w:r>
          </w:p>
        </w:tc>
      </w:tr>
    </w:tbl>
    <w:p>
      <w:pPr>
        <w:spacing w:after="80"/>
      </w:pPr>
    </w:p>
    <w:p>
      <w:pPr>
        <w:pStyle w:val="Heading3"/>
        <w:keepNext/>
      </w:pPr>
      <w:r>
        <w:t xml:space="preserve">Key points</w:t>
      </w:r>
    </w:p>
    <w:p>
      <w:pPr>
        <w:spacing w:after="100" w:before="0"/>
      </w:pPr>
      <w:r>
        <w:rPr>
          <w:sz w:val="22"/>
          <w:szCs w:val="22"/>
        </w:rPr>
        <w:t xml:space="preserve">Property taxes can swing more than almost any other homeownership cost depending on where you buy. The same home at the same price can carry annual taxes of $2,000 in one county and $9,000 in another. And the current owner's tax bill isn't always a reliable guide to what yours will be after the sale closes.</w:t>
      </w:r>
    </w:p>
    <w:p>
      <w:pPr>
        <w:pStyle w:val="ListParagraph"/>
        <w:numPr>
          <w:ilvl w:val="0"/>
          <w:numId w:val="3"/>
        </w:numPr>
        <w:spacing w:after="50"/>
      </w:pPr>
      <w:r>
        <w:rPr>
          <w:b/>
          <w:bCs/>
          <w:sz w:val="22"/>
          <w:szCs w:val="22"/>
        </w:rPr>
        <w:t xml:space="preserve">How Property Taxes Are Calculated.</w:t>
      </w:r>
      <w:r>
        <w:rPr>
          <w:sz w:val="22"/>
          <w:szCs w:val="22"/>
        </w:rPr>
        <w:t xml:space="preserve"> Property taxes are determined by multiplying your home's assessed value by the local tax rate (called the mill rate or levy rate).</w:t>
      </w:r>
    </w:p>
    <w:p>
      <w:pPr>
        <w:pStyle w:val="ListParagraph"/>
        <w:numPr>
          <w:ilvl w:val="1"/>
          <w:numId w:val="3"/>
        </w:numPr>
        <w:spacing w:after="40"/>
      </w:pPr>
      <w:r>
        <w:rPr>
          <w:sz w:val="22"/>
          <w:szCs w:val="22"/>
        </w:rPr>
        <w:t xml:space="preserve">Assessed value: $400,000 × 90% = $360,000</w:t>
      </w:r>
    </w:p>
    <w:p>
      <w:pPr>
        <w:pStyle w:val="ListParagraph"/>
        <w:numPr>
          <w:ilvl w:val="1"/>
          <w:numId w:val="3"/>
        </w:numPr>
        <w:spacing w:after="40"/>
      </w:pPr>
      <w:r>
        <w:rPr>
          <w:sz w:val="22"/>
          <w:szCs w:val="22"/>
        </w:rPr>
        <w:t xml:space="preserve">Annual tax: $360,000 ÷ 100 × $2.50 = $9,000/year = $750/month</w:t>
      </w:r>
    </w:p>
    <w:p>
      <w:pPr>
        <w:pStyle w:val="ListParagraph"/>
        <w:numPr>
          <w:ilvl w:val="0"/>
          <w:numId w:val="3"/>
        </w:numPr>
        <w:spacing w:after="50"/>
      </w:pPr>
      <w:r>
        <w:rPr>
          <w:b/>
          <w:bCs/>
          <w:sz w:val="22"/>
          <w:szCs w:val="22"/>
        </w:rPr>
        <w:t xml:space="preserve">The New Buyer Reassessment Problem.</w:t>
      </w:r>
      <w:r>
        <w:rPr>
          <w:sz w:val="22"/>
          <w:szCs w:val="22"/>
        </w:rPr>
        <w:t xml:space="preserve"> This is one of the most common budget surprises for new buyers: the property tax shown on Zillow, the tax history in the MLS.</w:t>
      </w:r>
    </w:p>
    <w:p>
      <w:pPr>
        <w:pStyle w:val="ListParagraph"/>
        <w:numPr>
          <w:ilvl w:val="0"/>
          <w:numId w:val="3"/>
        </w:numPr>
        <w:spacing w:after="50"/>
      </w:pPr>
      <w:r>
        <w:rPr>
          <w:b/>
          <w:bCs/>
          <w:sz w:val="22"/>
          <w:szCs w:val="22"/>
        </w:rPr>
        <w:t xml:space="preserve">Homestead Exemptions.</w:t>
      </w:r>
      <w:r>
        <w:rPr>
          <w:sz w:val="22"/>
          <w:szCs w:val="22"/>
        </w:rPr>
        <w:t xml:space="preserve"> Most states offer a homestead exemption that reduces the taxable assessed value for primary residences.</w:t>
      </w:r>
    </w:p>
    <w:p>
      <w:pPr>
        <w:pStyle w:val="ListParagraph"/>
        <w:numPr>
          <w:ilvl w:val="0"/>
          <w:numId w:val="3"/>
        </w:numPr>
        <w:spacing w:after="50"/>
      </w:pPr>
      <w:r>
        <w:rPr>
          <w:b/>
          <w:bCs/>
          <w:sz w:val="22"/>
          <w:szCs w:val="22"/>
        </w:rPr>
        <w:t xml:space="preserve">Appealing Your Assessment.</w:t>
      </w:r>
      <w:r>
        <w:rPr>
          <w:sz w:val="22"/>
          <w:szCs w:val="22"/>
        </w:rPr>
        <w:t xml:space="preserve"> If you believe your assessed value is too high (e.g., higher than comparable properties or your actual purchase price), you have the right to appeal.</w:t>
      </w:r>
    </w:p>
    <w:p>
      <w:pPr>
        <w:pStyle w:val="Heading3"/>
        <w:keepNext/>
      </w:pPr>
      <w:r>
        <w:t xml:space="preserve">Talk track</w:t>
      </w:r>
    </w:p>
    <w:p>
      <w:pPr>
        <w:spacing w:after="100" w:before="0"/>
      </w:pPr>
      <w:r>
        <w:rPr>
          <w:i/>
          <w:iCs/>
          <w:sz w:val="22"/>
          <w:szCs w:val="22"/>
        </w:rPr>
        <w:t xml:space="preserve">"Property taxes can swing more than almost any other homeownership cost depending on where you buy."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Facts to emphasize</w:t>
            </w:r>
          </w:p>
          <w:p>
            <w:pPr>
              <w:spacing w:after="50"/>
            </w:pPr>
            <w:r>
              <w:rPr>
                <w:sz w:val="21"/>
                <w:szCs w:val="21"/>
              </w:rPr>
              <w:t xml:space="preserve">Escrow and reassessment timing: Your lender's initial escrow estimate is based on the current tax bill, not your future reassessed value. When the reassessment happens and the new bill comes due, your lender will adjust your escrow payment, sometimes by $100–$400/month. That can feel like a sudden payment increase. Budget for this possibility in the first year or two of ownership.</w:t>
            </w:r>
          </w:p>
        </w:tc>
      </w:tr>
    </w:tbl>
    <w:p>
      <w:pPr>
        <w:pStyle w:val="Heading3"/>
        <w:keepNext/>
      </w:pPr>
      <w:r>
        <w:t xml:space="preserve">Activity: Teach it back (10 minutes)</w:t>
      </w:r>
    </w:p>
    <w:p>
      <w:pPr>
        <w:pStyle w:val="ListParagraph"/>
        <w:numPr>
          <w:ilvl w:val="0"/>
          <w:numId w:val="6"/>
        </w:numPr>
        <w:spacing w:after="60"/>
      </w:pPr>
      <w:r>
        <w:rPr>
          <w:sz w:val="22"/>
          <w:szCs w:val="22"/>
        </w:rPr>
        <w:t xml:space="preserve">Pairs take turns explaining each of the key ideas above in plain English, as if to a friend.</w:t>
      </w:r>
    </w:p>
    <w:p>
      <w:pPr>
        <w:pStyle w:val="ListParagraph"/>
        <w:numPr>
          <w:ilvl w:val="0"/>
          <w:numId w:val="6"/>
        </w:numPr>
        <w:spacing w:after="60"/>
      </w:pPr>
      <w:r>
        <w:rPr>
          <w:sz w:val="22"/>
          <w:szCs w:val="22"/>
        </w:rPr>
        <w:t xml:space="preserve">Listen for misunderstandings and correct them kindly.</w:t>
      </w:r>
    </w:p>
    <w:p>
      <w:pPr>
        <w:pStyle w:val="ListParagraph"/>
        <w:numPr>
          <w:ilvl w:val="0"/>
          <w:numId w:val="6"/>
        </w:numPr>
        <w:spacing w:after="60"/>
      </w:pPr>
      <w:r>
        <w:rPr>
          <w:sz w:val="22"/>
          <w:szCs w:val="22"/>
        </w:rPr>
        <w:t xml:space="preserve">Participants write each idea in their own words on workbook page 3.</w:t>
      </w:r>
    </w:p>
    <w:p>
      <w:pPr>
        <w:pStyle w:val="ListParagraph"/>
        <w:numPr>
          <w:ilvl w:val="0"/>
          <w:numId w:val="6"/>
        </w:numPr>
        <w:spacing w:after="60"/>
      </w:pPr>
      <w:r>
        <w:rPr>
          <w:sz w:val="22"/>
          <w:szCs w:val="22"/>
        </w:rPr>
        <w:t xml:space="preserve">Ask each pair to share the idea they found hardest to explain.</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How Property Taxes Are Calculated?"</w:t>
      </w:r>
    </w:p>
    <w:p>
      <w:pPr>
        <w:pStyle w:val="ListParagraph"/>
        <w:numPr>
          <w:ilvl w:val="0"/>
          <w:numId w:val="3"/>
        </w:numPr>
        <w:spacing w:after="50"/>
      </w:pPr>
      <w:r>
        <w:rPr>
          <w:sz w:val="22"/>
          <w:szCs w:val="22"/>
        </w:rPr>
        <w:t xml:space="preserve">"How does this apply to your own plans: The New Buyer Reassessment Problem?"</w:t>
      </w:r>
    </w:p>
    <w:p>
      <w:r>
        <w:br w:type="page"/>
      </w:r>
    </w:p>
    <w:p>
      <w:pPr>
        <w:pStyle w:val="Heading2"/>
        <w:keepNext/>
      </w:pPr>
      <w:r>
        <w:t xml:space="preserve">Lesson 6.3: Homeowners' Insurance: What It Covers and What It Doesn't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13 to 16</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4</w:t>
            </w:r>
          </w:p>
        </w:tc>
      </w:tr>
    </w:tbl>
    <w:p>
      <w:pPr>
        <w:spacing w:after="80"/>
      </w:pPr>
    </w:p>
    <w:p>
      <w:pPr>
        <w:pStyle w:val="Heading3"/>
        <w:keepNext/>
      </w:pPr>
      <w:r>
        <w:t xml:space="preserve">Key points</w:t>
      </w:r>
    </w:p>
    <w:p>
      <w:pPr>
        <w:spacing w:after="100" w:before="0"/>
      </w:pPr>
      <w:r>
        <w:rPr>
          <w:sz w:val="22"/>
          <w:szCs w:val="22"/>
        </w:rPr>
        <w:t xml:space="preserve">Homeowners' insurance (HO-3 is the most common policy form for single-family homes) covers the structure of your home and your personal belongings against specific named perils, provides liability protection if someone is injured on your property, and pays for additional living expenses if your home is uninhabitable after a covered loss. It does not cover everything. The gaps can be devastating if you're not aware of them.</w:t>
      </w:r>
    </w:p>
    <w:p>
      <w:pPr>
        <w:pStyle w:val="ListParagraph"/>
        <w:numPr>
          <w:ilvl w:val="0"/>
          <w:numId w:val="3"/>
        </w:numPr>
        <w:spacing w:after="50"/>
      </w:pPr>
      <w:r>
        <w:rPr>
          <w:b/>
          <w:bCs/>
          <w:sz w:val="22"/>
          <w:szCs w:val="22"/>
        </w:rPr>
        <w:t xml:space="preserve">What a Standard HO-3 Policy Covers.</w:t>
      </w:r>
      <w:r>
        <w:rPr>
          <w:sz w:val="22"/>
          <w:szCs w:val="22"/>
        </w:rPr>
        <w:t xml:space="preserve"> Dwelling (Coverage A): The structure of your home: walls, roof, floors, built-in appliances, against all perils except those specifically excluded.</w:t>
      </w:r>
    </w:p>
    <w:p>
      <w:pPr>
        <w:pStyle w:val="ListParagraph"/>
        <w:numPr>
          <w:ilvl w:val="1"/>
          <w:numId w:val="3"/>
        </w:numPr>
        <w:spacing w:after="40"/>
      </w:pPr>
      <w:r>
        <w:rPr>
          <w:sz w:val="22"/>
          <w:szCs w:val="22"/>
        </w:rPr>
        <w:t xml:space="preserve">Dwelling (Coverage A): The structure of your home: walls, roof, floors, built-in appliances, against all perils except those specifically excluded. Coverage limit should be the replacement cost to rebuild the home, not the purchase price or market value.</w:t>
      </w:r>
    </w:p>
    <w:p>
      <w:pPr>
        <w:pStyle w:val="ListParagraph"/>
        <w:numPr>
          <w:ilvl w:val="1"/>
          <w:numId w:val="3"/>
        </w:numPr>
        <w:spacing w:after="40"/>
      </w:pPr>
      <w:r>
        <w:rPr>
          <w:sz w:val="22"/>
          <w:szCs w:val="22"/>
        </w:rPr>
        <w:t xml:space="preserve">Other structures (Coverage B): Detached garage, fence, shed, typically 10% of dwelling coverage.</w:t>
      </w:r>
    </w:p>
    <w:p>
      <w:pPr>
        <w:pStyle w:val="ListParagraph"/>
        <w:numPr>
          <w:ilvl w:val="1"/>
          <w:numId w:val="3"/>
        </w:numPr>
        <w:spacing w:after="40"/>
      </w:pPr>
      <w:r>
        <w:rPr>
          <w:sz w:val="22"/>
          <w:szCs w:val="22"/>
        </w:rPr>
        <w:t xml:space="preserve">Personal property (Coverage C): Your belongings (furniture, electronics, clothing) against named perils (fire, theft, windstorm). Typically 50–70% of dwelling coverage. High-value items (jewelry, art, firearms, collectibles) may have sub-limits that require a separate rider to fully cover.</w:t>
      </w:r>
    </w:p>
    <w:p>
      <w:pPr>
        <w:pStyle w:val="ListParagraph"/>
        <w:numPr>
          <w:ilvl w:val="1"/>
          <w:numId w:val="3"/>
        </w:numPr>
        <w:spacing w:after="40"/>
      </w:pPr>
      <w:r>
        <w:rPr>
          <w:sz w:val="22"/>
          <w:szCs w:val="22"/>
        </w:rPr>
        <w:t xml:space="preserve">Loss of use (Coverage D): Additional living expenses if a covered loss makes your home uninhabitable: hotel, meals, storage while repairs are made.</w:t>
      </w:r>
    </w:p>
    <w:p>
      <w:pPr>
        <w:pStyle w:val="ListParagraph"/>
        <w:numPr>
          <w:ilvl w:val="0"/>
          <w:numId w:val="3"/>
        </w:numPr>
        <w:spacing w:after="50"/>
      </w:pPr>
      <w:r>
        <w:rPr>
          <w:b/>
          <w:bCs/>
          <w:sz w:val="22"/>
          <w:szCs w:val="22"/>
        </w:rPr>
        <w:t xml:space="preserve">What a Standard Policy Does NOT Cover.</w:t>
      </w:r>
      <w:r>
        <w:rPr>
          <w:sz w:val="22"/>
          <w:szCs w:val="22"/>
        </w:rPr>
        <w:t xml:space="preserve"> These gaps require separate policies or riders and are the source of the most financially damaging coverage surprises:</w:t>
      </w:r>
    </w:p>
    <w:p>
      <w:pPr>
        <w:pStyle w:val="ListParagraph"/>
        <w:numPr>
          <w:ilvl w:val="1"/>
          <w:numId w:val="3"/>
        </w:numPr>
        <w:spacing w:after="40"/>
      </w:pPr>
      <w:r>
        <w:rPr>
          <w:sz w:val="22"/>
          <w:szCs w:val="22"/>
        </w:rPr>
        <w:t xml:space="preserve">Flood: Standard homeowners' insurance never covers flooding. That means water that enters from outside: storm surge, overflowing rivers, heavy rainfall. Flood insurance is available through the National Flood Insurance Program (NFIP) or private carriers. Required by lenders if the property is in a FEMA Special Flood Hazard Area (SFHA). If you're in a SFHA, budget $600–$2,000+/year. Even outside a SFHA, flood risk exists. Twenty percent of flood claims come from outside high-risk zones.</w:t>
      </w:r>
    </w:p>
    <w:p>
      <w:pPr>
        <w:pStyle w:val="ListParagraph"/>
        <w:numPr>
          <w:ilvl w:val="1"/>
          <w:numId w:val="3"/>
        </w:numPr>
        <w:spacing w:after="40"/>
      </w:pPr>
      <w:r>
        <w:rPr>
          <w:sz w:val="22"/>
          <w:szCs w:val="22"/>
        </w:rPr>
        <w:t xml:space="preserve">Earthquake: Not covered under standard policies. Separate earthquake insurance is available in California and other seismic zones.</w:t>
      </w:r>
    </w:p>
    <w:p>
      <w:pPr>
        <w:pStyle w:val="ListParagraph"/>
        <w:numPr>
          <w:ilvl w:val="1"/>
          <w:numId w:val="3"/>
        </w:numPr>
        <w:spacing w:after="40"/>
      </w:pPr>
      <w:r>
        <w:rPr>
          <w:sz w:val="22"/>
          <w:szCs w:val="22"/>
        </w:rPr>
        <w:t xml:space="preserve">Sewer/water backup: A sewer line backing up into your basement isn't covered under standard policies unless you add a water backup rider ($50–$150/year). Well worth adding.</w:t>
      </w:r>
    </w:p>
    <w:p>
      <w:pPr>
        <w:pStyle w:val="ListParagraph"/>
        <w:numPr>
          <w:ilvl w:val="1"/>
          <w:numId w:val="3"/>
        </w:numPr>
        <w:spacing w:after="40"/>
      </w:pPr>
      <w:r>
        <w:rPr>
          <w:sz w:val="22"/>
          <w:szCs w:val="22"/>
        </w:rPr>
        <w:t xml:space="preserve">Normal wear and tear / maintenance: Insurance covers sudden, accidental losses, not gradual deterioration or deferred maintenance. A roof that failed due to age rather than a storm event may not be covered.</w:t>
      </w:r>
    </w:p>
    <w:p>
      <w:pPr>
        <w:pStyle w:val="ListParagraph"/>
        <w:numPr>
          <w:ilvl w:val="0"/>
          <w:numId w:val="3"/>
        </w:numPr>
        <w:spacing w:after="50"/>
      </w:pPr>
      <w:r>
        <w:rPr>
          <w:b/>
          <w:bCs/>
          <w:sz w:val="22"/>
          <w:szCs w:val="22"/>
        </w:rPr>
        <w:t xml:space="preserve">Shopping for Coverage.</w:t>
      </w:r>
      <w:r>
        <w:rPr>
          <w:sz w:val="22"/>
          <w:szCs w:val="22"/>
        </w:rPr>
        <w:t xml:space="preserve"> Insurance premiums have risen significantly in many states over the past few years, driven by catastrophic weather events, rising replacement costs.</w:t>
      </w:r>
    </w:p>
    <w:p>
      <w:pPr>
        <w:pStyle w:val="Heading3"/>
        <w:keepNext/>
      </w:pPr>
      <w:r>
        <w:t xml:space="preserve">Talk track</w:t>
      </w:r>
    </w:p>
    <w:p>
      <w:pPr>
        <w:spacing w:after="100" w:before="0"/>
      </w:pPr>
      <w:r>
        <w:rPr>
          <w:i/>
          <w:iCs/>
          <w:sz w:val="22"/>
          <w:szCs w:val="22"/>
        </w:rPr>
        <w:t xml:space="preserve">"Homeowners' insurance (HO-3 is the most common policy form for single-family homes) covers the structure of your home and your personal belongings against specific named perils."</w:t>
      </w:r>
    </w:p>
    <w:p>
      <w:pPr>
        <w:pStyle w:val="Heading3"/>
        <w:keepNext/>
      </w:pPr>
      <w:r>
        <w:t xml:space="preserve">Activity: Teach it back (10 minutes)</w:t>
      </w:r>
    </w:p>
    <w:p>
      <w:pPr>
        <w:pStyle w:val="ListParagraph"/>
        <w:numPr>
          <w:ilvl w:val="0"/>
          <w:numId w:val="7"/>
        </w:numPr>
        <w:spacing w:after="60"/>
      </w:pPr>
      <w:r>
        <w:rPr>
          <w:sz w:val="22"/>
          <w:szCs w:val="22"/>
        </w:rPr>
        <w:t xml:space="preserve">Pairs take turns explaining each of the key ideas above in plain English, as if to a friend.</w:t>
      </w:r>
    </w:p>
    <w:p>
      <w:pPr>
        <w:pStyle w:val="ListParagraph"/>
        <w:numPr>
          <w:ilvl w:val="0"/>
          <w:numId w:val="7"/>
        </w:numPr>
        <w:spacing w:after="60"/>
      </w:pPr>
      <w:r>
        <w:rPr>
          <w:sz w:val="22"/>
          <w:szCs w:val="22"/>
        </w:rPr>
        <w:t xml:space="preserve">Listen for misunderstandings and correct them kindly.</w:t>
      </w:r>
    </w:p>
    <w:p>
      <w:pPr>
        <w:pStyle w:val="ListParagraph"/>
        <w:numPr>
          <w:ilvl w:val="0"/>
          <w:numId w:val="7"/>
        </w:numPr>
        <w:spacing w:after="60"/>
      </w:pPr>
      <w:r>
        <w:rPr>
          <w:sz w:val="22"/>
          <w:szCs w:val="22"/>
        </w:rPr>
        <w:t xml:space="preserve">Participants write each idea in their own words on workbook page 4.</w:t>
      </w:r>
    </w:p>
    <w:p>
      <w:pPr>
        <w:pStyle w:val="ListParagraph"/>
        <w:numPr>
          <w:ilvl w:val="0"/>
          <w:numId w:val="7"/>
        </w:numPr>
        <w:spacing w:after="60"/>
      </w:pPr>
      <w:r>
        <w:rPr>
          <w:sz w:val="22"/>
          <w:szCs w:val="22"/>
        </w:rPr>
        <w:t xml:space="preserve">Ask each pair to share the idea they found hardest to explain.</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What a Standard HO-3 Policy Covers?"</w:t>
      </w:r>
    </w:p>
    <w:p>
      <w:pPr>
        <w:pStyle w:val="ListParagraph"/>
        <w:numPr>
          <w:ilvl w:val="0"/>
          <w:numId w:val="3"/>
        </w:numPr>
        <w:spacing w:after="50"/>
      </w:pPr>
      <w:r>
        <w:rPr>
          <w:sz w:val="22"/>
          <w:szCs w:val="22"/>
        </w:rPr>
        <w:t xml:space="preserve">"How does this apply to your own plans: What a Standard Policy Does NOT Cover?"</w:t>
      </w:r>
    </w:p>
    <w:p>
      <w:r>
        <w:br w:type="page"/>
      </w:r>
    </w:p>
    <w:p>
      <w:pPr>
        <w:pStyle w:val="Heading2"/>
        <w:keepNext/>
      </w:pPr>
      <w:r>
        <w:t xml:space="preserve">Lesson 6.4: HOA Fees, Special Assessments, and Condo Living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17 to 21</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5</w:t>
            </w:r>
          </w:p>
        </w:tc>
      </w:tr>
    </w:tbl>
    <w:p>
      <w:pPr>
        <w:spacing w:after="80"/>
      </w:pPr>
    </w:p>
    <w:p>
      <w:pPr>
        <w:pStyle w:val="Heading3"/>
        <w:keepNext/>
      </w:pPr>
      <w:r>
        <w:t xml:space="preserve">Key points</w:t>
      </w:r>
    </w:p>
    <w:p>
      <w:pPr>
        <w:spacing w:after="100" w:before="0"/>
      </w:pPr>
      <w:r>
        <w:rPr>
          <w:sz w:val="22"/>
          <w:szCs w:val="22"/>
        </w:rPr>
        <w:t xml:space="preserve">Roughly one in five American homes is in a community governed by a homeowners' association (HOA). If you're buying in a planned development, gated community, townhome development, or condo building, you'll almost certainly have HOA fees. These can range from $50/month for basic development maintenance to $1,200+/month for luxury condominiums. Understanding what you're getting, and what risks you're taking on, matters before you sign.</w:t>
      </w:r>
    </w:p>
    <w:p>
      <w:pPr>
        <w:pStyle w:val="ListParagraph"/>
        <w:numPr>
          <w:ilvl w:val="0"/>
          <w:numId w:val="3"/>
        </w:numPr>
        <w:spacing w:after="50"/>
      </w:pPr>
      <w:r>
        <w:rPr>
          <w:b/>
          <w:bCs/>
          <w:sz w:val="22"/>
          <w:szCs w:val="22"/>
        </w:rPr>
        <w:t xml:space="preserve">What HOA Fees Cover.</w:t>
      </w:r>
      <w:r>
        <w:rPr>
          <w:sz w:val="22"/>
          <w:szCs w:val="22"/>
        </w:rPr>
        <w:t xml:space="preserve"> HOA fees maintain shared common areas: landscaping, pool, gym, parking structures, hallways in condo buildings.</w:t>
      </w:r>
    </w:p>
    <w:p>
      <w:pPr>
        <w:pStyle w:val="ListParagraph"/>
        <w:numPr>
          <w:ilvl w:val="0"/>
          <w:numId w:val="3"/>
        </w:numPr>
        <w:spacing w:after="50"/>
      </w:pPr>
      <w:r>
        <w:rPr>
          <w:b/>
          <w:bCs/>
          <w:sz w:val="22"/>
          <w:szCs w:val="22"/>
        </w:rPr>
        <w:t xml:space="preserve">The Special Assessment Risk.</w:t>
      </w:r>
      <w:r>
        <w:rPr>
          <w:sz w:val="22"/>
          <w:szCs w:val="22"/>
        </w:rPr>
        <w:t xml:space="preserve"> An HOA's operating budget covers routine expenses. Capital reserves are funds set aside for major, infrequent expenditures: roof replacement, repaving parking lots.</w:t>
      </w:r>
    </w:p>
    <w:p>
      <w:pPr>
        <w:pStyle w:val="ListParagraph"/>
        <w:numPr>
          <w:ilvl w:val="1"/>
          <w:numId w:val="3"/>
        </w:numPr>
        <w:spacing w:after="40"/>
      </w:pPr>
      <w:r>
        <w:rPr>
          <w:sz w:val="22"/>
          <w:szCs w:val="22"/>
        </w:rPr>
        <w:t xml:space="preserve">The most recent financial statements</w:t>
      </w:r>
    </w:p>
    <w:p>
      <w:pPr>
        <w:pStyle w:val="ListParagraph"/>
        <w:numPr>
          <w:ilvl w:val="1"/>
          <w:numId w:val="3"/>
        </w:numPr>
        <w:spacing w:after="40"/>
      </w:pPr>
      <w:r>
        <w:rPr>
          <w:sz w:val="22"/>
          <w:szCs w:val="22"/>
        </w:rPr>
        <w:t xml:space="preserve">The reserve study (an independent assessment of the HOA's capital needs and reserve adequacy)</w:t>
      </w:r>
    </w:p>
    <w:p>
      <w:pPr>
        <w:pStyle w:val="ListParagraph"/>
        <w:numPr>
          <w:ilvl w:val="1"/>
          <w:numId w:val="3"/>
        </w:numPr>
        <w:spacing w:after="40"/>
      </w:pPr>
      <w:r>
        <w:rPr>
          <w:sz w:val="22"/>
          <w:szCs w:val="22"/>
        </w:rPr>
        <w:t xml:space="preserve">Meeting minutes for the past two years (these will reveal pending litigation, known issues, and board dynamics)</w:t>
      </w:r>
    </w:p>
    <w:p>
      <w:pPr>
        <w:pStyle w:val="ListParagraph"/>
        <w:numPr>
          <w:ilvl w:val="1"/>
          <w:numId w:val="3"/>
        </w:numPr>
        <w:spacing w:after="40"/>
      </w:pPr>
      <w:r>
        <w:rPr>
          <w:sz w:val="22"/>
          <w:szCs w:val="22"/>
        </w:rPr>
        <w:t xml:space="preserve">CC&amp;Rs (Covenants, Conditions &amp; Restrictions): the rules you're agreeing to follow</w:t>
      </w:r>
    </w:p>
    <w:p>
      <w:pPr>
        <w:pStyle w:val="ListParagraph"/>
        <w:numPr>
          <w:ilvl w:val="0"/>
          <w:numId w:val="3"/>
        </w:numPr>
        <w:spacing w:after="50"/>
      </w:pPr>
      <w:r>
        <w:rPr>
          <w:b/>
          <w:bCs/>
          <w:sz w:val="22"/>
          <w:szCs w:val="22"/>
        </w:rPr>
        <w:t xml:space="preserve">HOA Fees and Mortgage Qualification.</w:t>
      </w:r>
      <w:r>
        <w:rPr>
          <w:sz w:val="22"/>
          <w:szCs w:val="22"/>
        </w:rPr>
        <w:t xml:space="preserve"> HOA fees are included in lender qualification calculations. Specifically, they're added to your PITI to determine your front-end DTI.</w:t>
      </w:r>
    </w:p>
    <w:p>
      <w:pPr>
        <w:pStyle w:val="Heading3"/>
        <w:keepNext/>
      </w:pPr>
      <w:r>
        <w:t xml:space="preserve">Talk track</w:t>
      </w:r>
    </w:p>
    <w:p>
      <w:pPr>
        <w:spacing w:after="100" w:before="0"/>
      </w:pPr>
      <w:r>
        <w:rPr>
          <w:i/>
          <w:iCs/>
          <w:sz w:val="22"/>
          <w:szCs w:val="22"/>
        </w:rPr>
        <w:t xml:space="preserve">"Roughly one in five American homes is in a community governed by a homeowners' association (HOA)."</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none" w:color="FFFFFF" w:sz="0"/>
              <w:left w:val="single" w:color="990000" w:sz="24"/>
              <w:bottom w:val="none" w:color="FFFFFF" w:sz="0"/>
              <w:right w:val="none" w:color="FFFFFF" w:sz="0"/>
            </w:tcBorders>
            <w:shd w:fill="FDF1F1" w:color="auto" w:val="clear"/>
            <w:tcMar>
              <w:top w:type="dxa" w:w="100"/>
              <w:left w:type="dxa" w:w="180"/>
              <w:bottom w:type="dxa" w:w="100"/>
              <w:right w:type="dxa" w:w="140"/>
            </w:tcMar>
          </w:tcPr>
          <w:p>
            <w:pPr>
              <w:spacing w:after="60"/>
            </w:pPr>
            <w:r>
              <w:rPr>
                <w:b/>
                <w:bCs/>
                <w:color w:val="990000"/>
                <w:sz w:val="21"/>
                <w:szCs w:val="21"/>
              </w:rPr>
              <w:t xml:space="preserve">Facts to emphasize</w:t>
            </w:r>
          </w:p>
          <w:p>
            <w:pPr>
              <w:spacing w:after="50"/>
            </w:pPr>
            <w:r>
              <w:rPr>
                <w:sz w:val="21"/>
                <w:szCs w:val="21"/>
              </w:rPr>
              <w:t xml:space="preserve">HOA arrears and FHA/VA loans: FHA and VA have specific requirements around HOA financial health. A condo association that is significantly delinquent on fees from unit owners, has inadequate reserves, or is in active litigation may be ineligible for FHA or VA financing, meaning you can only use conventional loans, which may require a larger down payment.</w:t>
            </w:r>
          </w:p>
        </w:tc>
      </w:tr>
    </w:tbl>
    <w:p>
      <w:pPr>
        <w:pStyle w:val="Heading3"/>
        <w:keepNext/>
      </w:pPr>
      <w:r>
        <w:t xml:space="preserve">Activity: Teach it back (10 minutes)</w:t>
      </w:r>
    </w:p>
    <w:p>
      <w:pPr>
        <w:pStyle w:val="ListParagraph"/>
        <w:numPr>
          <w:ilvl w:val="0"/>
          <w:numId w:val="8"/>
        </w:numPr>
        <w:spacing w:after="60"/>
      </w:pPr>
      <w:r>
        <w:rPr>
          <w:sz w:val="22"/>
          <w:szCs w:val="22"/>
        </w:rPr>
        <w:t xml:space="preserve">Pairs take turns explaining each of the key ideas above in plain English, as if to a friend.</w:t>
      </w:r>
    </w:p>
    <w:p>
      <w:pPr>
        <w:pStyle w:val="ListParagraph"/>
        <w:numPr>
          <w:ilvl w:val="0"/>
          <w:numId w:val="8"/>
        </w:numPr>
        <w:spacing w:after="60"/>
      </w:pPr>
      <w:r>
        <w:rPr>
          <w:sz w:val="22"/>
          <w:szCs w:val="22"/>
        </w:rPr>
        <w:t xml:space="preserve">Listen for misunderstandings and correct them kindly.</w:t>
      </w:r>
    </w:p>
    <w:p>
      <w:pPr>
        <w:pStyle w:val="ListParagraph"/>
        <w:numPr>
          <w:ilvl w:val="0"/>
          <w:numId w:val="8"/>
        </w:numPr>
        <w:spacing w:after="60"/>
      </w:pPr>
      <w:r>
        <w:rPr>
          <w:sz w:val="22"/>
          <w:szCs w:val="22"/>
        </w:rPr>
        <w:t xml:space="preserve">Participants write each idea in their own words on workbook page 5.</w:t>
      </w:r>
    </w:p>
    <w:p>
      <w:pPr>
        <w:pStyle w:val="ListParagraph"/>
        <w:numPr>
          <w:ilvl w:val="0"/>
          <w:numId w:val="8"/>
        </w:numPr>
        <w:spacing w:after="60"/>
      </w:pPr>
      <w:r>
        <w:rPr>
          <w:sz w:val="22"/>
          <w:szCs w:val="22"/>
        </w:rPr>
        <w:t xml:space="preserve">Ask each pair to share the idea they found hardest to explain.</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What HOA Fees Cover?"</w:t>
      </w:r>
    </w:p>
    <w:p>
      <w:pPr>
        <w:pStyle w:val="ListParagraph"/>
        <w:numPr>
          <w:ilvl w:val="0"/>
          <w:numId w:val="3"/>
        </w:numPr>
        <w:spacing w:after="50"/>
      </w:pPr>
      <w:r>
        <w:rPr>
          <w:sz w:val="22"/>
          <w:szCs w:val="22"/>
        </w:rPr>
        <w:t xml:space="preserve">"How does this apply to your own plans: The Special Assessment Risk?"</w:t>
      </w:r>
    </w:p>
    <w:p>
      <w:r>
        <w:br w:type="page"/>
      </w:r>
    </w:p>
    <w:p>
      <w:pPr>
        <w:pStyle w:val="Heading2"/>
        <w:keepNext/>
      </w:pPr>
      <w:r>
        <w:t xml:space="preserve">Lesson 6.5: Maintenance, Repairs, and Capital Expenditures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900"/>
        <w:gridCol w:w="8180"/>
      </w:tblGrid>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Time</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30 minutes</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Slides</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Slides 22 to 25</w:t>
            </w:r>
          </w:p>
        </w:tc>
      </w:tr>
      <w:tr>
        <w:trPr>
          <w:cantSplit/>
        </w:trPr>
        <w:tc>
          <w:tcPr>
            <w:tcW w:type="dxa" w:w="1900"/>
            <w:tcBorders>
              <w:top w:val="single" w:color="BBBBBB" w:sz="4"/>
              <w:left w:val="single" w:color="BBBBBB" w:sz="4"/>
              <w:bottom w:val="single" w:color="BBBBBB" w:sz="4"/>
              <w:right w:val="single" w:color="BBBBBB" w:sz="4"/>
            </w:tcBorders>
            <w:shd w:fill="F6F6F6" w:color="auto" w:val="clear"/>
            <w:tcMar>
              <w:top w:type="dxa" w:w="70"/>
              <w:left w:type="dxa" w:w="110"/>
              <w:bottom w:type="dxa" w:w="70"/>
              <w:right w:type="dxa" w:w="110"/>
            </w:tcMar>
          </w:tcPr>
          <w:p>
            <w:pPr>
              <w:spacing w:after="40"/>
            </w:pPr>
            <w:r>
              <w:rPr>
                <w:b/>
                <w:bCs/>
                <w:sz w:val="20"/>
                <w:szCs w:val="20"/>
              </w:rPr>
              <w:t xml:space="preserve">Workbook</w:t>
            </w:r>
          </w:p>
        </w:tc>
        <w:tc>
          <w:tcPr>
            <w:tcW w:type="dxa" w:w="81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b w:val="false"/>
                <w:bCs w:val="false"/>
                <w:sz w:val="20"/>
                <w:szCs w:val="20"/>
              </w:rPr>
              <w:t xml:space="preserve">Page 6</w:t>
            </w:r>
          </w:p>
        </w:tc>
      </w:tr>
    </w:tbl>
    <w:p>
      <w:pPr>
        <w:spacing w:after="80"/>
      </w:pPr>
    </w:p>
    <w:p>
      <w:pPr>
        <w:pStyle w:val="Heading3"/>
        <w:keepNext/>
      </w:pPr>
      <w:r>
        <w:t xml:space="preserve">Key points</w:t>
      </w:r>
    </w:p>
    <w:p>
      <w:pPr>
        <w:spacing w:after="100" w:before="0"/>
      </w:pPr>
      <w:r>
        <w:rPr>
          <w:sz w:val="22"/>
          <w:szCs w:val="22"/>
        </w:rPr>
        <w:t xml:space="preserve">Every home contains major systems and components with finite lifespans. Budgeting for their eventual replacement is the difference between a homeowner who builds wealth and one who depletes savings in reactive emergency mode. The goal isn't to predict exactly when the roof will fail. It's to have money available when it does.</w:t>
      </w:r>
    </w:p>
    <w:p>
      <w:pPr>
        <w:pStyle w:val="ListParagraph"/>
        <w:numPr>
          <w:ilvl w:val="0"/>
          <w:numId w:val="3"/>
        </w:numPr>
        <w:spacing w:after="50"/>
      </w:pPr>
      <w:r>
        <w:rPr>
          <w:b/>
          <w:bCs/>
          <w:sz w:val="22"/>
          <w:szCs w:val="22"/>
        </w:rPr>
        <w:t xml:space="preserve">The 1% Rule: A Useful Starting Point.</w:t>
      </w:r>
      <w:r>
        <w:rPr>
          <w:sz w:val="22"/>
          <w:szCs w:val="22"/>
        </w:rPr>
        <w:t xml:space="preserve"> The conventional rule of thumb is to budget 1–2% of your home's value annually for maintenance and repairs.</w:t>
      </w:r>
    </w:p>
    <w:p>
      <w:pPr>
        <w:pStyle w:val="ListParagraph"/>
        <w:numPr>
          <w:ilvl w:val="0"/>
          <w:numId w:val="3"/>
        </w:numPr>
        <w:spacing w:after="50"/>
      </w:pPr>
      <w:r>
        <w:rPr>
          <w:b/>
          <w:bCs/>
          <w:sz w:val="22"/>
          <w:szCs w:val="22"/>
        </w:rPr>
        <w:t xml:space="preserve">Capital Expenditures: The Major Systems to Know.</w:t>
      </w:r>
      <w:r>
        <w:rPr>
          <w:sz w:val="22"/>
          <w:szCs w:val="22"/>
        </w:rPr>
        <w:t xml:space="preserve"> </w:t>
      </w:r>
    </w:p>
    <w:p>
      <w:pPr>
        <w:pStyle w:val="ListParagraph"/>
        <w:numPr>
          <w:ilvl w:val="0"/>
          <w:numId w:val="3"/>
        </w:numPr>
        <w:spacing w:after="50"/>
      </w:pPr>
      <w:r>
        <w:rPr>
          <w:b/>
          <w:bCs/>
          <w:sz w:val="22"/>
          <w:szCs w:val="22"/>
        </w:rPr>
        <w:t xml:space="preserve">The Age-at-Purchase Question.</w:t>
      </w:r>
      <w:r>
        <w:rPr>
          <w:sz w:val="22"/>
          <w:szCs w:val="22"/>
        </w:rPr>
        <w:t xml:space="preserve"> When evaluating a home purchase, ask about the age and condition of every major system.</w:t>
      </w:r>
    </w:p>
    <w:p>
      <w:pPr>
        <w:pStyle w:val="ListParagraph"/>
        <w:numPr>
          <w:ilvl w:val="0"/>
          <w:numId w:val="3"/>
        </w:numPr>
        <w:spacing w:after="50"/>
      </w:pPr>
      <w:r>
        <w:rPr>
          <w:b/>
          <w:bCs/>
          <w:sz w:val="22"/>
          <w:szCs w:val="22"/>
        </w:rPr>
        <w:t xml:space="preserve">The Home Inspection as a Capital Planning Tool.</w:t>
      </w:r>
      <w:r>
        <w:rPr>
          <w:sz w:val="22"/>
          <w:szCs w:val="22"/>
        </w:rPr>
        <w:t xml:space="preserve"> Your pre-purchase inspection isn't just about finding deal-breakers.</w:t>
      </w:r>
    </w:p>
    <w:p>
      <w:pPr>
        <w:pStyle w:val="Heading3"/>
        <w:keepNext/>
      </w:pPr>
      <w:r>
        <w:t xml:space="preserve">Reference table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360"/>
        <w:gridCol w:w="3360"/>
        <w:gridCol w:w="3360"/>
      </w:tblGrid>
      <w:tr>
        <w:trPr>
          <w:tblHeader/>
        </w:trPr>
        <w:tc>
          <w:tcPr>
            <w:tcW w:type="dxa" w:w="336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Component</w:t>
            </w:r>
          </w:p>
        </w:tc>
        <w:tc>
          <w:tcPr>
            <w:tcW w:type="dxa" w:w="336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Typical Lifespan</w:t>
            </w:r>
          </w:p>
        </w:tc>
        <w:tc>
          <w:tcPr>
            <w:tcW w:type="dxa" w:w="336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Replacement Cost (rough range)</w:t>
            </w:r>
          </w:p>
        </w:tc>
      </w:tr>
      <w:tr>
        <w:trPr>
          <w:cantSplit/>
        </w:trPr>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Roof (asphalt shingles)</w:t>
            </w:r>
          </w:p>
        </w:tc>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20–30 years</w:t>
            </w:r>
          </w:p>
        </w:tc>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$10,000–$25,000+</w:t>
            </w:r>
          </w:p>
        </w:tc>
      </w:tr>
      <w:tr>
        <w:trPr>
          <w:cantSplit/>
        </w:trPr>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HVAC system (furnace + AC)</w:t>
            </w:r>
          </w:p>
        </w:tc>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15–20 years each</w:t>
            </w:r>
          </w:p>
        </w:tc>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$6,000–$12,000 per unit</w:t>
            </w:r>
          </w:p>
        </w:tc>
      </w:tr>
      <w:tr>
        <w:trPr>
          <w:cantSplit/>
        </w:trPr>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Water heater</w:t>
            </w:r>
          </w:p>
        </w:tc>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8–12 years</w:t>
            </w:r>
          </w:p>
        </w:tc>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$800–$2,500</w:t>
            </w:r>
          </w:p>
        </w:tc>
      </w:tr>
      <w:tr>
        <w:trPr>
          <w:cantSplit/>
        </w:trPr>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Kitchen appliances</w:t>
            </w:r>
          </w:p>
        </w:tc>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10–20 years</w:t>
            </w:r>
          </w:p>
        </w:tc>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$500–$3,000 each</w:t>
            </w:r>
          </w:p>
        </w:tc>
      </w:tr>
      <w:tr>
        <w:trPr>
          <w:cantSplit/>
        </w:trPr>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Exterior paint (wood siding)</w:t>
            </w:r>
          </w:p>
        </w:tc>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5–10 years</w:t>
            </w:r>
          </w:p>
        </w:tc>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$3,000–$10,000</w:t>
            </w:r>
          </w:p>
        </w:tc>
      </w:tr>
      <w:tr>
        <w:trPr>
          <w:cantSplit/>
        </w:trPr>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Plumbing (re-pipe)</w:t>
            </w:r>
          </w:p>
        </w:tc>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40–70 years (varies by material)</w:t>
            </w:r>
          </w:p>
        </w:tc>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$4,000–$15,000</w:t>
            </w:r>
          </w:p>
        </w:tc>
      </w:tr>
      <w:tr>
        <w:trPr>
          <w:cantSplit/>
        </w:trPr>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Electrical panel upgrade</w:t>
            </w:r>
          </w:p>
        </w:tc>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Situation-dependent</w:t>
            </w:r>
          </w:p>
        </w:tc>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$2,000–$6,000</w:t>
            </w:r>
          </w:p>
        </w:tc>
      </w:tr>
      <w:tr>
        <w:trPr>
          <w:cantSplit/>
        </w:trPr>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Windows (full replacement)</w:t>
            </w:r>
          </w:p>
        </w:tc>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20–30 years</w:t>
            </w:r>
          </w:p>
        </w:tc>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$8,000–$25,000</w:t>
            </w:r>
          </w:p>
        </w:tc>
      </w:tr>
      <w:tr>
        <w:trPr>
          <w:cantSplit/>
        </w:trPr>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Deck (wood)</w:t>
            </w:r>
          </w:p>
        </w:tc>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15–20 years</w:t>
            </w:r>
          </w:p>
        </w:tc>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$5,000–$20,000</w:t>
            </w:r>
          </w:p>
        </w:tc>
      </w:tr>
      <w:tr>
        <w:trPr>
          <w:cantSplit/>
        </w:trPr>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Sewer line (if needed)</w:t>
            </w:r>
          </w:p>
        </w:tc>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40–100 years (varies)</w:t>
            </w:r>
          </w:p>
        </w:tc>
        <w:tc>
          <w:tcPr>
            <w:tcW w:type="dxa" w:w="336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$3,000–$25,000</w:t>
            </w:r>
          </w:p>
        </w:tc>
      </w:tr>
    </w:tbl>
    <w:p>
      <w:pPr>
        <w:spacing w:after="80"/>
      </w:pPr>
    </w:p>
    <w:p>
      <w:pPr>
        <w:pStyle w:val="Heading3"/>
        <w:keepNext/>
      </w:pPr>
      <w:r>
        <w:t xml:space="preserve">Talk track</w:t>
      </w:r>
    </w:p>
    <w:p>
      <w:pPr>
        <w:spacing w:after="100" w:before="0"/>
      </w:pPr>
      <w:r>
        <w:rPr>
          <w:i/>
          <w:iCs/>
          <w:sz w:val="22"/>
          <w:szCs w:val="22"/>
        </w:rPr>
        <w:t xml:space="preserve">"Every home contains major systems and components with finite lifespans."</w:t>
      </w:r>
    </w:p>
    <w:p>
      <w:pPr>
        <w:pStyle w:val="Heading3"/>
        <w:keepNext/>
      </w:pPr>
      <w:r>
        <w:t xml:space="preserve">Activity: Teach it back (10 minutes)</w:t>
      </w:r>
    </w:p>
    <w:p>
      <w:pPr>
        <w:pStyle w:val="ListParagraph"/>
        <w:numPr>
          <w:ilvl w:val="0"/>
          <w:numId w:val="9"/>
        </w:numPr>
        <w:spacing w:after="60"/>
      </w:pPr>
      <w:r>
        <w:rPr>
          <w:sz w:val="22"/>
          <w:szCs w:val="22"/>
        </w:rPr>
        <w:t xml:space="preserve">Pairs take turns explaining each of the key ideas above in plain English, as if to a friend.</w:t>
      </w:r>
    </w:p>
    <w:p>
      <w:pPr>
        <w:pStyle w:val="ListParagraph"/>
        <w:numPr>
          <w:ilvl w:val="0"/>
          <w:numId w:val="9"/>
        </w:numPr>
        <w:spacing w:after="60"/>
      </w:pPr>
      <w:r>
        <w:rPr>
          <w:sz w:val="22"/>
          <w:szCs w:val="22"/>
        </w:rPr>
        <w:t xml:space="preserve">Listen for misunderstandings and correct them kindly.</w:t>
      </w:r>
    </w:p>
    <w:p>
      <w:pPr>
        <w:pStyle w:val="ListParagraph"/>
        <w:numPr>
          <w:ilvl w:val="0"/>
          <w:numId w:val="9"/>
        </w:numPr>
        <w:spacing w:after="60"/>
      </w:pPr>
      <w:r>
        <w:rPr>
          <w:sz w:val="22"/>
          <w:szCs w:val="22"/>
        </w:rPr>
        <w:t xml:space="preserve">Participants write each idea in their own words on workbook page 6.</w:t>
      </w:r>
    </w:p>
    <w:p>
      <w:pPr>
        <w:pStyle w:val="ListParagraph"/>
        <w:numPr>
          <w:ilvl w:val="0"/>
          <w:numId w:val="9"/>
        </w:numPr>
        <w:spacing w:after="60"/>
      </w:pPr>
      <w:r>
        <w:rPr>
          <w:sz w:val="22"/>
          <w:szCs w:val="22"/>
        </w:rPr>
        <w:t xml:space="preserve">Ask each pair to share the idea they found hardest to explain.</w:t>
      </w:r>
    </w:p>
    <w:p>
      <w:pPr>
        <w:pStyle w:val="Heading3"/>
        <w:keepNext/>
      </w:pPr>
      <w:r>
        <w:t xml:space="preserve">Discussion questions</w:t>
      </w:r>
    </w:p>
    <w:p>
      <w:pPr>
        <w:pStyle w:val="ListParagraph"/>
        <w:numPr>
          <w:ilvl w:val="0"/>
          <w:numId w:val="3"/>
        </w:numPr>
        <w:spacing w:after="50"/>
      </w:pPr>
      <w:r>
        <w:rPr>
          <w:sz w:val="22"/>
          <w:szCs w:val="22"/>
        </w:rPr>
        <w:t xml:space="preserve">"Which idea in this lesson surprised you most, and why?"</w:t>
      </w:r>
    </w:p>
    <w:p>
      <w:pPr>
        <w:pStyle w:val="ListParagraph"/>
        <w:numPr>
          <w:ilvl w:val="0"/>
          <w:numId w:val="3"/>
        </w:numPr>
        <w:spacing w:after="50"/>
      </w:pPr>
      <w:r>
        <w:rPr>
          <w:sz w:val="22"/>
          <w:szCs w:val="22"/>
        </w:rPr>
        <w:t xml:space="preserve">"How does this apply to your own plans: The 1% Rule: A Useful Starting Point?"</w:t>
      </w:r>
    </w:p>
    <w:p>
      <w:pPr>
        <w:pStyle w:val="ListParagraph"/>
        <w:numPr>
          <w:ilvl w:val="0"/>
          <w:numId w:val="3"/>
        </w:numPr>
        <w:spacing w:after="50"/>
      </w:pPr>
      <w:r>
        <w:rPr>
          <w:sz w:val="22"/>
          <w:szCs w:val="22"/>
        </w:rPr>
        <w:t xml:space="preserve">"How does this apply to your own plans: Capital Expenditures: The Major Systems to Know?"</w:t>
      </w:r>
    </w:p>
    <w:p>
      <w:r>
        <w:br w:type="page"/>
      </w:r>
    </w:p>
    <w:p>
      <w:pPr>
        <w:pStyle w:val="Heading2"/>
        <w:keepNext/>
      </w:pPr>
      <w:r>
        <w:t xml:space="preserve">Self-assessment quiz (10 minutes)</w:t>
      </w:r>
    </w:p>
    <w:p>
      <w:pPr>
        <w:spacing w:after="100" w:before="0"/>
      </w:pPr>
      <w:r>
        <w:rPr>
          <w:sz w:val="22"/>
          <w:szCs w:val="22"/>
        </w:rPr>
        <w:t xml:space="preserve">Participants answer on workbook page 7 without looking at notes. Review answers aloud. Use wrong answers as teaching moments, not as grades. Participants should not be ranked or embarrassed.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700"/>
        <w:gridCol w:w="3600"/>
        <w:gridCol w:w="1000"/>
        <w:gridCol w:w="4780"/>
      </w:tblGrid>
      <w:tr>
        <w:trPr>
          <w:tblHeader/>
        </w:trPr>
        <w:tc>
          <w:tcPr>
            <w:tcW w:type="dxa" w:w="7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w:t>
            </w:r>
          </w:p>
        </w:tc>
        <w:tc>
          <w:tcPr>
            <w:tcW w:type="dxa" w:w="36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Question</w:t>
            </w:r>
          </w:p>
        </w:tc>
        <w:tc>
          <w:tcPr>
            <w:tcW w:type="dxa" w:w="1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Answer</w:t>
            </w:r>
          </w:p>
        </w:tc>
        <w:tc>
          <w:tcPr>
            <w:tcW w:type="dxa" w:w="47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Correct answer</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 useful rule of thumb for annual home maintenance and repair budgeting is:</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1–2% of home value per year</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2</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 standard homeowners' insurance policy (HO-3) typically does NOT cover:</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Flooding from an overflowing river or storm surge</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3</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 "special assessment" from an HOA is:</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A lump-sum charge levied on all unit owners when reserves are insufficient for a major capital expense</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4</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When a property is sold in many jurisdictions, property taxes may:</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Increase significantly because the property is reassessed at or near the purchase price</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5</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HOA fees affect mortgage qualification because:</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They are added to PITI when calculating your front-end debt-to-income ratio</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6</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Before buying a condo or HOA-governed home, you should review:</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HOA's financial statements, reserve study, and meeting minutes from the past two years</w:t>
            </w:r>
          </w:p>
        </w:tc>
      </w:tr>
      <w:tr>
        <w:trPr>
          <w:cantSplit/>
        </w:trPr>
        <w:tc>
          <w:tcPr>
            <w:tcW w:type="dxa" w:w="7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7</w:t>
            </w:r>
          </w:p>
        </w:tc>
        <w:tc>
          <w:tcPr>
            <w:tcW w:type="dxa" w:w="36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homestead exemption is important for new buyers because:</w:t>
            </w:r>
          </w:p>
        </w:tc>
        <w:tc>
          <w:tcPr>
            <w:tcW w:type="dxa" w:w="1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B</w:t>
            </w:r>
          </w:p>
        </w:tc>
        <w:tc>
          <w:tcPr>
            <w:tcW w:type="dxa" w:w="47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It reduces your home's taxable assessed value for property tax purposes, but you may need to apply for it, and missing the deadline loses a full year of benefit</w:t>
            </w:r>
          </w:p>
        </w:tc>
      </w:tr>
    </w:tbl>
    <w:p>
      <w:pPr>
        <w:spacing w:after="80"/>
      </w:pPr>
    </w:p>
    <w:p>
      <w:pPr>
        <w:pStyle w:val="Heading2"/>
        <w:keepNext/>
      </w:pPr>
      <w:r>
        <w:t xml:space="preserve">Action plan and wrap-up (15 minutes)</w:t>
      </w:r>
    </w:p>
    <w:p>
      <w:pPr>
        <w:pStyle w:val="ListParagraph"/>
        <w:numPr>
          <w:ilvl w:val="0"/>
          <w:numId w:val="10"/>
        </w:numPr>
        <w:spacing w:after="60"/>
      </w:pPr>
      <w:r>
        <w:rPr>
          <w:sz w:val="22"/>
          <w:szCs w:val="22"/>
        </w:rPr>
        <w:t xml:space="preserve">Have participants complete the action plan on workbook page 8. Ask each to pick the one action they will do this week and say it to a neighbor.</w:t>
      </w:r>
    </w:p>
    <w:p>
      <w:pPr>
        <w:pStyle w:val="ListParagraph"/>
        <w:numPr>
          <w:ilvl w:val="0"/>
          <w:numId w:val="10"/>
        </w:numPr>
        <w:spacing w:after="60"/>
      </w:pPr>
      <w:r>
        <w:rPr>
          <w:sz w:val="22"/>
          <w:szCs w:val="22"/>
        </w:rPr>
        <w:t xml:space="preserve">Offer individual counseling. Share local HUD-approved housing counseling agency contacts.</w:t>
      </w:r>
    </w:p>
    <w:p>
      <w:pPr>
        <w:pStyle w:val="ListParagraph"/>
        <w:numPr>
          <w:ilvl w:val="0"/>
          <w:numId w:val="10"/>
        </w:numPr>
        <w:spacing w:after="60"/>
      </w:pPr>
      <w:r>
        <w:rPr>
          <w:sz w:val="22"/>
          <w:szCs w:val="22"/>
        </w:rPr>
        <w:t xml:space="preserve">Hand out evaluation forms (Appendix C). Collect them before people leave.</w:t>
      </w:r>
    </w:p>
    <w:p>
      <w:pPr>
        <w:pStyle w:val="ListParagraph"/>
        <w:numPr>
          <w:ilvl w:val="0"/>
          <w:numId w:val="10"/>
        </w:numPr>
        <w:spacing w:after="60"/>
      </w:pPr>
      <w:r>
        <w:rPr>
          <w:sz w:val="22"/>
          <w:szCs w:val="22"/>
        </w:rPr>
        <w:t xml:space="preserve">Issue certificates of completion if your agency does so (Appendix D).</w:t>
      </w:r>
    </w:p>
    <w:p>
      <w:pPr>
        <w:pStyle w:val="ListParagraph"/>
        <w:numPr>
          <w:ilvl w:val="0"/>
          <w:numId w:val="10"/>
        </w:numPr>
        <w:spacing w:after="60"/>
      </w:pPr>
      <w:r>
        <w:rPr>
          <w:sz w:val="22"/>
          <w:szCs w:val="22"/>
        </w:rPr>
        <w:t xml:space="preserve">Preview the next module and point to the free calculators and Learn pages at yourmortgagetoolbox.com.</w:t>
      </w:r>
    </w:p>
    <w:p>
      <w:pPr>
        <w:pStyle w:val="Heading3"/>
        <w:keepNext/>
      </w:pPr>
      <w:r>
        <w:t xml:space="preserve">After class</w:t>
      </w:r>
    </w:p>
    <w:p>
      <w:pPr>
        <w:pStyle w:val="ListParagraph"/>
        <w:numPr>
          <w:ilvl w:val="0"/>
          <w:numId w:val="3"/>
        </w:numPr>
        <w:spacing w:after="50"/>
      </w:pPr>
      <w:r>
        <w:rPr>
          <w:sz w:val="22"/>
          <w:szCs w:val="22"/>
        </w:rPr>
        <w:t xml:space="preserve">Enter attendance and any outcome data into your agency's system as your policy requires.</w:t>
      </w:r>
    </w:p>
    <w:p>
      <w:pPr>
        <w:pStyle w:val="ListParagraph"/>
        <w:numPr>
          <w:ilvl w:val="0"/>
          <w:numId w:val="3"/>
        </w:numPr>
        <w:spacing w:after="50"/>
      </w:pPr>
      <w:r>
        <w:rPr>
          <w:sz w:val="22"/>
          <w:szCs w:val="22"/>
        </w:rPr>
        <w:t xml:space="preserve">Review evaluations the same day while you remember the room. Note which activities ran long.</w:t>
      </w:r>
    </w:p>
    <w:p>
      <w:pPr>
        <w:pStyle w:val="ListParagraph"/>
        <w:numPr>
          <w:ilvl w:val="0"/>
          <w:numId w:val="3"/>
        </w:numPr>
        <w:spacing w:after="50"/>
      </w:pPr>
      <w:r>
        <w:rPr>
          <w:sz w:val="22"/>
          <w:szCs w:val="22"/>
        </w:rPr>
        <w:t xml:space="preserve">Send a follow-up message within a week with the workbook link and the date of the next class.</w:t>
      </w:r>
    </w:p>
    <w:p>
      <w:r>
        <w:br w:type="page"/>
      </w:r>
    </w:p>
    <w:p>
      <w:pPr>
        <w:pStyle w:val="Heading1"/>
        <w:keepNext/>
      </w:pPr>
      <w:r>
        <w:t xml:space="preserve">Appendix A: Pre-class survey</w:t>
      </w:r>
    </w:p>
    <w:p>
      <w:pPr>
        <w:spacing w:after="100" w:before="0"/>
      </w:pPr>
      <w:r>
        <w:rPr>
          <w:sz w:val="22"/>
          <w:szCs w:val="22"/>
        </w:rPr>
        <w:t xml:space="preserve">Optional. Helps you tailor emphasis. Do not require names if participants prefer anonymity.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5040"/>
        <w:gridCol w:w="5040"/>
      </w:tblGrid>
      <w:tr>
        <w:trPr>
          <w:tblHeader/>
        </w:trPr>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Question</w:t>
            </w:r>
          </w:p>
        </w:tc>
        <w:tc>
          <w:tcPr>
            <w:tcW w:type="dxa" w:w="504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Response options</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How soon do you hope to buy a home, or are you already a homeowner?</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Within 6 months   ☐ 6 to 12 months   ☐ 1 to 2 years   ☐ Already own   ☐ Just learning</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How comfortable are you with mortgage terms?</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Very   ☐ Somewhat   ☐ Not at all</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What do you most want to learn today?</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________________________________</w:t>
            </w:r>
          </w:p>
        </w:tc>
      </w:tr>
      <w:tr>
        <w:trPr>
          <w:cantSplit/>
        </w:trPr>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Do you need materials in another language?</w:t>
            </w:r>
          </w:p>
        </w:tc>
        <w:tc>
          <w:tcPr>
            <w:tcW w:type="dxa" w:w="504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________________________________</w:t>
            </w:r>
          </w:p>
        </w:tc>
      </w:tr>
    </w:tbl>
    <w:p>
      <w:pPr>
        <w:pStyle w:val="Heading1"/>
        <w:keepNext/>
      </w:pPr>
      <w:r>
        <w:t xml:space="preserve">Appendix B: Sample sign-in and intake sheet</w:t>
      </w:r>
    </w:p>
    <w:p>
      <w:pPr>
        <w:spacing w:after="100" w:before="0"/>
      </w:pPr>
      <w:r>
        <w:rPr>
          <w:sz w:val="22"/>
          <w:szCs w:val="22"/>
        </w:rPr>
        <w:t xml:space="preserve">Agencies decide what they collect and how they store it. Mark anything optional as optional and keep records secure.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000"/>
        <w:gridCol w:w="3000"/>
        <w:gridCol w:w="3080"/>
      </w:tblGrid>
      <w:tr>
        <w:trPr>
          <w:tblHeader/>
        </w:trPr>
        <w:tc>
          <w:tcPr>
            <w:tcW w:type="dxa" w:w="4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Field</w:t>
            </w:r>
          </w:p>
        </w:tc>
        <w:tc>
          <w:tcPr>
            <w:tcW w:type="dxa" w:w="30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Required?</w:t>
            </w:r>
          </w:p>
        </w:tc>
        <w:tc>
          <w:tcPr>
            <w:tcW w:type="dxa" w:w="30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Notes</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Name and contact information</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For follow-up and certificate</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Services sought or provided</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Homeownership education</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Household size and income</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Per agency policy</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Often reported as a range</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Race and ethnicity</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Optional</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Voluntary reporting</w:t>
            </w:r>
          </w:p>
        </w:tc>
      </w:tr>
      <w:tr>
        <w:trPr>
          <w:cantSplit/>
        </w:trPr>
        <w:tc>
          <w:tcPr>
            <w:tcW w:type="dxa" w:w="4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Date, type, format and length of workshop attended</w:t>
            </w:r>
          </w:p>
        </w:tc>
        <w:tc>
          <w:tcPr>
            <w:tcW w:type="dxa" w:w="30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Yes</w:t>
            </w:r>
          </w:p>
        </w:tc>
        <w:tc>
          <w:tcPr>
            <w:tcW w:type="dxa" w:w="3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Module 6, instructor-led, 3 hr 15 min</w:t>
            </w:r>
          </w:p>
        </w:tc>
      </w:tr>
    </w:tbl>
    <w:p>
      <w:r>
        <w:br w:type="page"/>
      </w:r>
    </w:p>
    <w:p>
      <w:pPr>
        <w:pStyle w:val="Heading1"/>
        <w:keepNext/>
      </w:pPr>
      <w:r>
        <w:t xml:space="preserve">Appendix C: Participant evaluation form</w:t>
      </w:r>
    </w:p>
    <w:p>
      <w:pPr>
        <w:spacing w:after="100" w:before="0"/>
      </w:pPr>
      <w:r>
        <w:rPr>
          <w:sz w:val="22"/>
          <w:szCs w:val="22"/>
        </w:rPr>
        <w:t xml:space="preserve">Rate each statement from 1 (strongly disagree) to 5 (strongly agree).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6800"/>
        <w:gridCol w:w="3280"/>
      </w:tblGrid>
      <w:tr>
        <w:trPr>
          <w:tblHeader/>
        </w:trPr>
        <w:tc>
          <w:tcPr>
            <w:tcW w:type="dxa" w:w="680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Statement</w:t>
            </w:r>
          </w:p>
        </w:tc>
        <w:tc>
          <w:tcPr>
            <w:tcW w:type="dxa" w:w="3280"/>
            <w:tcBorders>
              <w:top w:val="single" w:color="BBBBBB" w:sz="4"/>
              <w:left w:val="single" w:color="BBBBBB" w:sz="4"/>
              <w:bottom w:val="single" w:color="BBBBBB" w:sz="4"/>
              <w:right w:val="single" w:color="BBBBBB" w:sz="4"/>
            </w:tcBorders>
            <w:shd w:fill="990000" w:color="auto" w:val="clear"/>
            <w:tcMar>
              <w:top w:type="dxa" w:w="70"/>
              <w:left w:type="dxa" w:w="110"/>
              <w:bottom w:type="dxa" w:w="70"/>
              <w:right w:type="dxa" w:w="110"/>
            </w:tcMar>
          </w:tcPr>
          <w:p>
            <w:pPr>
              <w:spacing w:after="40"/>
            </w:pPr>
            <w:r>
              <w:rPr>
                <w:b/>
                <w:bCs/>
                <w:color w:val="FFFFFF"/>
                <w:sz w:val="20"/>
                <w:szCs w:val="20"/>
              </w:rPr>
              <w:t xml:space="preserve">1   2   3   4   5</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instructor explained the material clearly.</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workbook helped me follow along.</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activities helped me understand the topic.</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 know my next steps.</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The pace and length of the class were right for me.</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r>
        <w:trPr>
          <w:cantSplit/>
        </w:trPr>
        <w:tc>
          <w:tcPr>
            <w:tcW w:type="dxa" w:w="680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I would recommend this class to a friend.</w:t>
            </w:r>
          </w:p>
        </w:tc>
        <w:tc>
          <w:tcPr>
            <w:tcW w:type="dxa" w:w="32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40"/>
            </w:pPr>
            <w:r>
              <w:rPr>
                <w:sz w:val="20"/>
                <w:szCs w:val="20"/>
              </w:rPr>
              <w:t xml:space="preserve">☐  ☐  ☐  ☐  ☐</w:t>
            </w:r>
          </w:p>
        </w:tc>
      </w:tr>
    </w:tbl>
    <w:p>
      <w:pPr>
        <w:spacing w:after="80"/>
      </w:pPr>
    </w:p>
    <w:p>
      <w:pPr>
        <w:spacing w:after="100" w:before="0"/>
      </w:pPr>
      <w:r>
        <w:rPr>
          <w:sz w:val="22"/>
          <w:szCs w:val="22"/>
        </w:rPr>
        <w:t xml:space="preserve">What was most helpful? ____________________________________________________________</w:t>
      </w:r>
    </w:p>
    <w:p>
      <w:pPr>
        <w:spacing w:after="100" w:before="0"/>
      </w:pPr>
      <w:r>
        <w:rPr>
          <w:sz w:val="22"/>
          <w:szCs w:val="22"/>
        </w:rPr>
        <w:t xml:space="preserve">What should we change? ____________________________________________________________</w:t>
      </w:r>
    </w:p>
    <w:p>
      <w:pPr>
        <w:spacing w:after="100" w:before="0"/>
      </w:pPr>
      <w:r>
        <w:rPr>
          <w:sz w:val="22"/>
          <w:szCs w:val="22"/>
        </w:rPr>
        <w:t xml:space="preserve">I would like a follow-up from a housing counselor:  Yes  /  No   Contact: ______________________</w:t>
      </w:r>
    </w:p>
    <w:p>
      <w:pPr>
        <w:pStyle w:val="Heading1"/>
        <w:keepNext/>
      </w:pPr>
      <w:r>
        <w:t xml:space="preserve">Appendix D: Certificate of completion text</w:t>
      </w:r>
    </w:p>
    <w:p>
      <w:pPr>
        <w:spacing w:after="100" w:before="0"/>
      </w:pPr>
      <w:r>
        <w:rPr>
          <w:sz w:val="22"/>
          <w:szCs w:val="22"/>
        </w:rPr>
        <w:t xml:space="preserve">Place this on agency letterhead or a branded template.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rPr>
          <w:cantSplit/>
        </w:trPr>
        <w:tc>
          <w:tcPr>
            <w:tcW w:type="dxa" w:w="10080"/>
            <w:tcBorders>
              <w:top w:val="single" w:color="BBBBBB" w:sz="4"/>
              <w:left w:val="single" w:color="BBBBBB" w:sz="4"/>
              <w:bottom w:val="single" w:color="BBBBBB" w:sz="4"/>
              <w:right w:val="single" w:color="BBBBBB" w:sz="4"/>
            </w:tcBorders>
            <w:tcMar>
              <w:top w:type="dxa" w:w="70"/>
              <w:left w:type="dxa" w:w="110"/>
              <w:bottom w:type="dxa" w:w="70"/>
              <w:right w:type="dxa" w:w="110"/>
            </w:tcMar>
          </w:tcPr>
          <w:p>
            <w:pPr>
              <w:spacing w:after="120" w:before="200"/>
              <w:jc w:val="center"/>
            </w:pPr>
            <w:r>
              <w:rPr>
                <w:b/>
                <w:bCs/>
                <w:color w:val="990000"/>
                <w:sz w:val="30"/>
                <w:szCs w:val="30"/>
              </w:rPr>
              <w:t xml:space="preserve">CERTIFICATE OF COMPLETION</w:t>
            </w:r>
          </w:p>
          <w:p>
            <w:pPr>
              <w:spacing w:after="60"/>
              <w:jc w:val="center"/>
            </w:pPr>
            <w:r>
              <w:rPr>
                <w:sz w:val="22"/>
                <w:szCs w:val="22"/>
              </w:rPr>
              <w:t xml:space="preserve">This certifies that</w:t>
            </w:r>
          </w:p>
          <w:p>
            <w:pPr>
              <w:spacing w:after="60"/>
              <w:jc w:val="center"/>
            </w:pPr>
            <w:r>
              <w:rPr>
                <w:sz w:val="26"/>
                <w:szCs w:val="26"/>
              </w:rPr>
              <w:t xml:space="preserve">______________________________</w:t>
            </w:r>
          </w:p>
          <w:p>
            <w:pPr>
              <w:spacing w:after="60"/>
              <w:jc w:val="center"/>
            </w:pPr>
            <w:r>
              <w:rPr>
                <w:b/>
                <w:bCs/>
                <w:sz w:val="22"/>
                <w:szCs w:val="22"/>
              </w:rPr>
              <w:t xml:space="preserve">has completed Module 6: The True Cost of Homeownership</w:t>
            </w:r>
          </w:p>
          <w:p>
            <w:pPr>
              <w:spacing w:after="60"/>
              <w:jc w:val="center"/>
            </w:pPr>
            <w:r>
              <w:rPr>
                <w:sz w:val="22"/>
                <w:szCs w:val="22"/>
              </w:rPr>
              <w:t xml:space="preserve">Homeownership education, 3 hours 15 minutes, instructor-led</w:t>
            </w:r>
          </w:p>
          <w:p>
            <w:pPr>
              <w:spacing w:after="200"/>
              <w:jc w:val="center"/>
            </w:pPr>
            <w:r>
              <w:rPr>
                <w:sz w:val="22"/>
                <w:szCs w:val="22"/>
              </w:rPr>
              <w:t xml:space="preserve">Date: ____________      Instructor: ____________________</w:t>
            </w:r>
          </w:p>
        </w:tc>
      </w:tr>
    </w:tbl>
    <w:p>
      <w:r>
        <w:br w:type="page"/>
      </w:r>
    </w:p>
    <w:p>
      <w:pPr>
        <w:pStyle w:val="Heading1"/>
        <w:keepNext/>
      </w:pPr>
      <w:r>
        <w:t xml:space="preserve">Appendix E: Volunteer orientation checklist</w:t>
      </w:r>
    </w:p>
    <w:p>
      <w:pPr>
        <w:spacing w:after="100" w:before="0"/>
      </w:pPr>
      <w:r>
        <w:rPr>
          <w:sz w:val="22"/>
          <w:szCs w:val="22"/>
        </w:rPr>
        <w:t xml:space="preserve">Review with every volunteer before their first class.</w:t>
      </w:r>
    </w:p>
    <w:p>
      <w:pPr>
        <w:spacing w:after="50"/>
      </w:pPr>
      <w:r>
        <w:rPr>
          <w:sz w:val="22"/>
          <w:szCs w:val="22"/>
        </w:rPr>
        <w:t xml:space="preserve">☐  Read this guide and the ground rules</w:t>
      </w:r>
    </w:p>
    <w:p>
      <w:pPr>
        <w:spacing w:after="50"/>
      </w:pPr>
      <w:r>
        <w:rPr>
          <w:sz w:val="22"/>
          <w:szCs w:val="22"/>
        </w:rPr>
        <w:t xml:space="preserve">☐  Sit in on a class or watch the slide deck with notes</w:t>
      </w:r>
    </w:p>
    <w:p>
      <w:pPr>
        <w:spacing w:after="50"/>
      </w:pPr>
      <w:r>
        <w:rPr>
          <w:sz w:val="22"/>
          <w:szCs w:val="22"/>
        </w:rPr>
        <w:t xml:space="preserve">☐  Understand you are an educator and cannot give individual loan, legal or tax advice</w:t>
      </w:r>
    </w:p>
    <w:p>
      <w:pPr>
        <w:spacing w:after="50"/>
      </w:pPr>
      <w:r>
        <w:rPr>
          <w:sz w:val="22"/>
          <w:szCs w:val="22"/>
        </w:rPr>
        <w:t xml:space="preserve">☐  Know how to refer participants to a HUD-approved housing counselor</w:t>
      </w:r>
    </w:p>
    <w:p>
      <w:pPr>
        <w:spacing w:after="50"/>
      </w:pPr>
      <w:r>
        <w:rPr>
          <w:sz w:val="22"/>
          <w:szCs w:val="22"/>
        </w:rPr>
        <w:t xml:space="preserve">☐  Know what personal information you must never collect</w:t>
      </w:r>
    </w:p>
    <w:p>
      <w:pPr>
        <w:spacing w:after="50"/>
      </w:pPr>
      <w:r>
        <w:rPr>
          <w:sz w:val="22"/>
          <w:szCs w:val="22"/>
        </w:rPr>
        <w:t xml:space="preserve">☐  Know your agency's complaint and incident procedure</w:t>
      </w:r>
    </w:p>
    <w:p>
      <w:pPr>
        <w:spacing w:after="50"/>
      </w:pPr>
      <w:r>
        <w:rPr>
          <w:sz w:val="22"/>
          <w:szCs w:val="22"/>
        </w:rPr>
        <w:t xml:space="preserve">☐  Sign your agency's code of conduct, including conflict of interest disclosure</w:t>
      </w:r>
    </w:p>
    <w:p>
      <w:pPr>
        <w:pStyle w:val="Heading1"/>
        <w:keepNext/>
      </w:pPr>
      <w:r>
        <w:t xml:space="preserve">Appendix H: Check before every class</w:t>
      </w:r>
    </w:p>
    <w:p>
      <w:pPr>
        <w:spacing w:after="100" w:before="0"/>
      </w:pPr>
      <w:r>
        <w:rPr>
          <w:sz w:val="22"/>
          <w:szCs w:val="22"/>
        </w:rPr>
        <w:t xml:space="preserve">These change. Confirm each before you teach and update your slides if needed.</w:t>
      </w:r>
    </w:p>
    <w:p>
      <w:pPr>
        <w:spacing w:after="50"/>
      </w:pPr>
      <w:r>
        <w:rPr>
          <w:sz w:val="22"/>
          <w:szCs w:val="22"/>
        </w:rPr>
        <w:t xml:space="preserve">☐  Local property tax rates, exemptions and homestead rules</w:t>
      </w:r>
    </w:p>
    <w:p>
      <w:pPr>
        <w:spacing w:after="50"/>
      </w:pPr>
      <w:r>
        <w:rPr>
          <w:sz w:val="22"/>
          <w:szCs w:val="22"/>
        </w:rPr>
        <w:t xml:space="preserve">☐  Homeowners insurance market conditions and flood zone requirements</w:t>
      </w:r>
    </w:p>
    <w:p>
      <w:pPr>
        <w:spacing w:after="50"/>
      </w:pPr>
      <w:r>
        <w:rPr>
          <w:sz w:val="22"/>
          <w:szCs w:val="22"/>
        </w:rPr>
        <w:t xml:space="preserve">☐  HOA and condo rules, including any recent legislation</w:t>
      </w:r>
    </w:p>
    <w:p>
      <w:pPr>
        <w:spacing w:after="50"/>
      </w:pPr>
      <w:r>
        <w:rPr>
          <w:sz w:val="22"/>
          <w:szCs w:val="22"/>
        </w:rPr>
        <w:t xml:space="preserve">☐  Typical maintenance cost benchmarks</w:t>
      </w:r>
    </w:p>
    <w:p>
      <w:pPr>
        <w:spacing w:after="50"/>
      </w:pPr>
      <w:r>
        <w:rPr>
          <w:sz w:val="22"/>
          <w:szCs w:val="22"/>
        </w:rPr>
        <w:t xml:space="preserve">☐  Any updates to the Learn module online (compare dates)</w:t>
      </w:r>
    </w:p>
    <w:p>
      <w:pPr>
        <w:spacing w:after="80"/>
      </w:pPr>
    </w:p>
    <w:p>
      <w:pPr>
        <w:spacing w:after="100" w:before="0"/>
      </w:pPr>
      <w:r>
        <w:rPr>
          <w:i/>
          <w:iCs/>
          <w:color w:val="555555"/>
          <w:sz w:val="20"/>
          <w:szCs w:val="20"/>
        </w:rPr>
        <w:t xml:space="preserve">Source note: HUD-approved counseling agencies must follow HUD program requirements. This guide is aligned to the National Industry Standards for education content but is not itself an approval or certification.</w:t>
      </w:r>
    </w:p>
    <w:sectPr>
      <w:headerReference w:type="default" r:id="rId7"/>
      <w:footerReference w:type="default" r:id="rId8"/>
      <w:pgSz w:w="12240" w:h="15840" w:orient="portrait"/>
      <w:pgMar w:top="1260" w:right="1080" w:bottom="126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777777"/>
        <w:sz w:val="16"/>
        <w:szCs w:val="16"/>
      </w:rPr>
      <w:t xml:space="preserve">Educational use only. Verify current requirements.  |  Page </w:t>
    </w:r>
    <w:r>
      <w:rPr>
        <w:color w:val="777777"/>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color w:val="888888"/>
        <w:sz w:val="16"/>
        <w:szCs w:val="16"/>
      </w:rPr>
      <w:t xml:space="preserve">Your Mortgage Toolbox  |  Module 6 Facilitator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lvl w:ilvl="1" w15:tentative="1">
      <w:start w:val="1"/>
      <w:numFmt w:val="bullet"/>
      <w:lvlText w:val="–"/>
      <w:lvlJc w:val="left"/>
      <w:pPr>
        <w:ind w:left="1000" w:hanging="270"/>
      </w:pPr>
    </w:lvl>
  </w:abstractNum>
  <w:abstractNum w:abstractNumId="3" w15:restartNumberingAfterBreak="0">
    <w:multiLevelType w:val="hybridMultilevel"/>
    <w:lvl w:ilvl="0" w15:tentative="1">
      <w:start w:val="1"/>
      <w:numFmt w:val="decimal"/>
      <w:lvlText w:val="%1."/>
      <w:lvlJc w:val="left"/>
      <w:pPr>
        <w:ind w:left="540" w:hanging="360"/>
      </w:pPr>
    </w:lvl>
  </w:abstractNum>
  <w:abstractNum w:abstractNumId="4" w15:restartNumberingAfterBreak="0">
    <w:multiLevelType w:val="hybridMultilevel"/>
    <w:lvl w:ilvl="0" w15:tentative="1">
      <w:start w:val="1"/>
      <w:numFmt w:val="decimal"/>
      <w:lvlText w:val="%1."/>
      <w:lvlJc w:val="left"/>
      <w:pPr>
        <w:ind w:left="540" w:hanging="360"/>
      </w:pPr>
    </w:lvl>
  </w:abstractNum>
  <w:abstractNum w:abstractNumId="5" w15:restartNumberingAfterBreak="0">
    <w:multiLevelType w:val="hybridMultilevel"/>
    <w:lvl w:ilvl="0" w15:tentative="1">
      <w:start w:val="1"/>
      <w:numFmt w:val="decimal"/>
      <w:lvlText w:val="%1."/>
      <w:lvlJc w:val="left"/>
      <w:pPr>
        <w:ind w:left="540" w:hanging="360"/>
      </w:pPr>
    </w:lvl>
  </w:abstractNum>
  <w:abstractNum w:abstractNumId="6" w15:restartNumberingAfterBreak="0">
    <w:multiLevelType w:val="hybridMultilevel"/>
    <w:lvl w:ilvl="0" w15:tentative="1">
      <w:start w:val="1"/>
      <w:numFmt w:val="decimal"/>
      <w:lvlText w:val="%1."/>
      <w:lvlJc w:val="left"/>
      <w:pPr>
        <w:ind w:left="540" w:hanging="360"/>
      </w:pPr>
    </w:lvl>
  </w:abstractNum>
  <w:abstractNum w:abstractNumId="7" w15:restartNumberingAfterBreak="0">
    <w:multiLevelType w:val="hybridMultilevel"/>
    <w:lvl w:ilvl="0" w15:tentative="1">
      <w:start w:val="1"/>
      <w:numFmt w:val="decimal"/>
      <w:lvlText w:val="%1."/>
      <w:lvlJc w:val="left"/>
      <w:pPr>
        <w:ind w:left="540" w:hanging="360"/>
      </w:pPr>
    </w:lvl>
  </w:abstractNum>
  <w:abstractNum w:abstractNumId="8" w15:restartNumberingAfterBreak="0">
    <w:multiLevelType w:val="hybridMultilevel"/>
    <w:lvl w:ilvl="0" w15:tentative="1">
      <w:start w:val="1"/>
      <w:numFmt w:val="decimal"/>
      <w:lvlText w:val="%1."/>
      <w:lvlJc w:val="left"/>
      <w:pPr>
        <w:ind w:left="540" w:hanging="360"/>
      </w:pPr>
    </w:lvl>
  </w:abstractNum>
  <w:abstractNum w:abstractNumId="9" w15:restartNumberingAfterBreak="0">
    <w:multiLevelType w:val="hybridMultilevel"/>
    <w:lvl w:ilvl="0" w15:tentative="1">
      <w:start w:val="1"/>
      <w:numFmt w:val="decimal"/>
      <w:lvlText w:val="%1."/>
      <w:lvlJc w:val="left"/>
      <w:pPr>
        <w:ind w:left="540" w:hanging="360"/>
      </w:pPr>
    </w:lvl>
  </w:abstractNum>
  <w:abstractNum w:abstractNumId="10" w15:restartNumberingAfterBreak="0">
    <w:multiLevelType w:val="hybridMultilevel"/>
    <w:lvl w:ilvl="0" w15:tentative="1">
      <w:start w:val="1"/>
      <w:numFmt w:val="decimal"/>
      <w:lvlText w:val="%1."/>
      <w:lvlJc w:val="left"/>
      <w:pPr>
        <w:ind w:left="540" w:hanging="360"/>
      </w:pPr>
    </w:lvl>
  </w:abstractNum>
  <w:abstractNum w:abstractNumId="11" w15:restartNumberingAfterBreak="0">
    <w:multiLevelType w:val="hybridMultilevel"/>
    <w:lvl w:ilvl="0" w15:tentative="1">
      <w:start w:val="1"/>
      <w:numFmt w:val="decimal"/>
      <w:lvlText w:val="%1."/>
      <w:lvlJc w:val="left"/>
      <w:pPr>
        <w:ind w:left="540" w:hanging="360"/>
      </w:pPr>
    </w:lvl>
  </w:abstractNum>
  <w:num w:numId="1">
    <w:abstractNumId w:val="1"/>
    <w:lvlOverride w:ilvl="0">
      <w:startOverride w:val="1"/>
    </w:lvlOverride>
  </w:num>
  <w:num w:numId="2">
    <w:abstractNumId w:val="4"/>
    <w:lvlOverride w:ilvl="0">
      <w:startOverride w:val="1"/>
    </w:lvlOverride>
  </w:num>
  <w:num w:numId="3">
    <w:abstractNumId w:val="2"/>
    <w:lvlOverride w:ilvl="0">
      <w:startOverride w:val="1"/>
    </w:lvlOverride>
  </w:num>
  <w:num w:numId="4">
    <w:abstractNumId w:val="5"/>
    <w:lvlOverride w:ilvl="0">
      <w:startOverride w:val="1"/>
    </w:lvlOverride>
  </w:num>
  <w:num w:numId="5">
    <w:abstractNumId w:val="7"/>
    <w:lvlOverride w:ilvl="0">
      <w:startOverride w:val="1"/>
    </w:lvlOverride>
  </w:num>
  <w:num w:numId="6">
    <w:abstractNumId w:val="8"/>
    <w:lvlOverride w:ilvl="0">
      <w:startOverride w:val="1"/>
    </w:lvlOverride>
  </w:num>
  <w:num w:numId="7">
    <w:abstractNumId w:val="9"/>
    <w:lvlOverride w:ilvl="0">
      <w:startOverride w:val="1"/>
    </w:lvlOverride>
  </w:num>
  <w:num w:numId="8">
    <w:abstractNumId w:val="10"/>
    <w:lvlOverride w:ilvl="0">
      <w:startOverride w:val="1"/>
    </w:lvlOverride>
  </w:num>
  <w:num w:numId="9">
    <w:abstractNumId w:val="11"/>
    <w:lvlOverride w:ilvl="0">
      <w:startOverride w:val="1"/>
    </w:lvlOverride>
  </w:num>
  <w:num w:numId="10">
    <w:abstractNumId w:val="6"/>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40" w:before="280"/>
      <w:outlineLvl w:val="0"/>
    </w:pPr>
    <w:rPr>
      <w:rFonts w:ascii="Calibri" w:cs="Calibri" w:eastAsia="Calibri" w:hAnsi="Calibri"/>
      <w:b/>
      <w:bCs/>
      <w:color w:val="990000"/>
      <w:sz w:val="34"/>
      <w:szCs w:val="34"/>
    </w:rPr>
  </w:style>
  <w:style w:type="paragraph" w:styleId="Heading2">
    <w:name w:val="Heading 2"/>
    <w:basedOn w:val="Normal"/>
    <w:next w:val="Normal"/>
    <w:qFormat/>
    <w:pPr>
      <w:spacing w:after="120" w:before="120"/>
      <w:outlineLvl w:val="1"/>
    </w:pPr>
    <w:rPr>
      <w:rFonts w:ascii="Calibri" w:cs="Calibri" w:eastAsia="Calibri" w:hAnsi="Calibri"/>
      <w:b/>
      <w:bCs/>
      <w:color w:val="990000"/>
      <w:sz w:val="30"/>
      <w:szCs w:val="30"/>
    </w:rPr>
  </w:style>
  <w:style w:type="paragraph" w:styleId="Heading3">
    <w:name w:val="Heading 3"/>
    <w:basedOn w:val="Normal"/>
    <w:next w:val="Normal"/>
    <w:qFormat/>
    <w:pPr>
      <w:spacing w:after="70" w:before="180"/>
      <w:outlineLvl w:val="2"/>
    </w:pPr>
    <w:rPr>
      <w:rFonts w:ascii="Calibri" w:cs="Calibri" w:eastAsia="Calibri" w:hAnsi="Calibri"/>
      <w:b/>
      <w:bCs/>
      <w:color w:val="222222"/>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Module 6 Facilitator Guide</dc:title>
  <dc:creator>Your Mortgage Toolbox</dc:creator>
  <cp:lastModifiedBy>Un-named</cp:lastModifiedBy>
  <cp:revision>1</cp:revision>
  <dcterms:created xsi:type="dcterms:W3CDTF">2026-10-06T02:18:56.210Z</dcterms:created>
  <dcterms:modified xsi:type="dcterms:W3CDTF">2026-10-06T02:18:56.210Z</dcterms:modified>
</cp:coreProperties>
</file>

<file path=docProps/custom.xml><?xml version="1.0" encoding="utf-8"?>
<Properties xmlns="http://schemas.openxmlformats.org/officeDocument/2006/custom-properties" xmlns:vt="http://schemas.openxmlformats.org/officeDocument/2006/docPropsVTypes"/>
</file>