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1 Facilitator Guide</w:t>
      </w:r>
    </w:p>
    <w:p>
      <w:pPr>
        <w:spacing w:after="200"/>
      </w:pPr>
      <w:r>
        <w:rPr>
          <w:sz w:val="32"/>
          <w:szCs w:val="32"/>
        </w:rPr>
        <w:t xml:space="preserve">Understanding Your Financial Foundation</w:t>
      </w:r>
    </w:p>
    <w:p>
      <w:pPr>
        <w:spacing w:after="200" w:before="0"/>
      </w:pPr>
      <w:r>
        <w:rPr>
          <w:sz w:val="22"/>
          <w:szCs w:val="22"/>
        </w:rPr>
        <w:t xml:space="preserve">For volunteers, housing counseling agency staff, credit union and nonprofit educators, and anyone teaching this module to a group. Pair this guide with the Module 1 slide deck and the Module 1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homebuyers who are 6 to 24 months from applying for a mortgage.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also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 Suggested two-session split: Lessons 1.1 to 1.3, then 1.4, 1.5 and the quiz.</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 a fictional sample credit report (Appendix F).</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"check before every class" list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1 at yourmortgagetoolbox.com/learn/financial-foundation/.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Credit scoring, loan program rules and ratio limits change. Verify the items in Appendix H before every class and tell participants that numbers are general guidelines.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w:t>
      </w:r>
    </w:p>
    <w:p>
      <w:pPr>
        <w:pStyle w:val="ListParagraph"/>
        <w:numPr>
          <w:ilvl w:val="0"/>
          <w:numId w:val="2"/>
        </w:numPr>
        <w:spacing w:after="60"/>
      </w:pPr>
      <w:r>
        <w:rPr>
          <w:sz w:val="22"/>
          <w:szCs w:val="22"/>
        </w:rPr>
        <w:t xml:space="preserve">Explain how a mortgage credit score is built from the five factors and which score a lender uses.</w:t>
      </w:r>
    </w:p>
    <w:p>
      <w:pPr>
        <w:pStyle w:val="ListParagraph"/>
        <w:numPr>
          <w:ilvl w:val="0"/>
          <w:numId w:val="2"/>
        </w:numPr>
        <w:spacing w:after="60"/>
      </w:pPr>
      <w:r>
        <w:rPr>
          <w:sz w:val="22"/>
          <w:szCs w:val="22"/>
        </w:rPr>
        <w:t xml:space="preserve">Pull their credit reports from all three bureaus, spot errors and start a dispute.</w:t>
      </w:r>
    </w:p>
    <w:p>
      <w:pPr>
        <w:pStyle w:val="ListParagraph"/>
        <w:numPr>
          <w:ilvl w:val="0"/>
          <w:numId w:val="2"/>
        </w:numPr>
        <w:spacing w:after="60"/>
      </w:pPr>
      <w:r>
        <w:rPr>
          <w:sz w:val="22"/>
          <w:szCs w:val="22"/>
        </w:rPr>
        <w:t xml:space="preserve">Build a plan to raise their score before applying, starting with credit card utilization.</w:t>
      </w:r>
    </w:p>
    <w:p>
      <w:pPr>
        <w:pStyle w:val="ListParagraph"/>
        <w:numPr>
          <w:ilvl w:val="0"/>
          <w:numId w:val="2"/>
        </w:numPr>
        <w:spacing w:after="60"/>
      </w:pPr>
      <w:r>
        <w:rPr>
          <w:sz w:val="22"/>
          <w:szCs w:val="22"/>
        </w:rPr>
        <w:t xml:space="preserve">Calculate front-end and back-end debt-to-income ratios and explain how loan programs treat them differently.</w:t>
      </w:r>
    </w:p>
    <w:p>
      <w:pPr>
        <w:pStyle w:val="ListParagraph"/>
        <w:numPr>
          <w:ilvl w:val="0"/>
          <w:numId w:val="2"/>
        </w:numPr>
        <w:spacing w:after="60"/>
      </w:pPr>
      <w:r>
        <w:rPr>
          <w:sz w:val="22"/>
          <w:szCs w:val="22"/>
        </w:rPr>
        <w:t xml:space="preserve">Set an emergency fund and home repair reserve target and explain why reserves matter to lenders and to homeowners.</w:t>
      </w:r>
    </w:p>
    <w:p>
      <w:pPr>
        <w:pStyle w:val="ListParagraph"/>
        <w:numPr>
          <w:ilvl w:val="0"/>
          <w:numId w:val="2"/>
        </w:numPr>
        <w:spacing w:after="60"/>
      </w:pPr>
      <w:r>
        <w:rPr>
          <w:sz w:val="22"/>
          <w:szCs w:val="22"/>
        </w:rPr>
        <w:t xml:space="preserve">Leave with a written 30-60-90 day action plan.</w:t>
      </w:r>
    </w:p>
    <w:p>
      <w:pPr>
        <w:pStyle w:val="Heading3"/>
        <w:keepNext/>
      </w:pPr>
      <w:r>
        <w:t xml:space="preserve">Standards alignment</w:t>
      </w:r>
    </w:p>
    <w:p>
      <w:pPr>
        <w:spacing w:after="100" w:before="0"/>
      </w:pPr>
      <w:r>
        <w:rPr>
          <w:sz w:val="22"/>
          <w:szCs w:val="22"/>
        </w:rPr>
        <w:t xml:space="preserve">This module supports the National Industry Standards pre-purchase topics: importance of good credit, credit bureaus, reports and scores, how to fix credit problems, debt management, how a lender decides whether to lend, and housing affordability and qualification. See the Learn program gap analysis for the full crosswalk.</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Copies of the sample credit report (Appendix F), one per pair</w:t>
      </w:r>
    </w:p>
    <w:p>
      <w:pPr>
        <w:spacing w:after="50"/>
      </w:pPr>
      <w:r>
        <w:rPr>
          <w:sz w:val="22"/>
          <w:szCs w:val="22"/>
        </w:rPr>
        <w:t xml:space="preserve">☐  Pens, a flip chart or whiteboard, tent cards for names</w:t>
      </w:r>
    </w:p>
    <w:p>
      <w:pPr>
        <w:spacing w:after="50"/>
      </w:pPr>
      <w:r>
        <w:rPr>
          <w:sz w:val="22"/>
          <w:szCs w:val="22"/>
        </w:rPr>
        <w:t xml:space="preserve">☐  Calculators or phones with a calculator app</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3"/>
        <w:keepNext/>
      </w:pPr>
      <w:r>
        <w:t xml:space="preserve">Suggested homework before class</w:t>
      </w:r>
    </w:p>
    <w:p>
      <w:pPr>
        <w:spacing w:after="100" w:before="0"/>
      </w:pPr>
      <w:r>
        <w:rPr>
          <w:sz w:val="22"/>
          <w:szCs w:val="22"/>
        </w:rPr>
        <w:t xml:space="preserve">Ask participants to request their free credit reports at AnnualCreditReport.com before class, but do not ask anyone to bring them or share them. Reports contain Social Security numbers and account numbers. The class uses a fictional sample report so no one has to expose real information.</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"Follow this plan and your score will be 740" is not something you can say. Say what is typical and that results vary.</w:t>
      </w:r>
    </w:p>
    <w:p>
      <w:pPr>
        <w:pStyle w:val="ListParagraph"/>
        <w:numPr>
          <w:ilvl w:val="0"/>
          <w:numId w:val="3"/>
        </w:numPr>
        <w:spacing w:after="50"/>
      </w:pPr>
      <w:r>
        <w:rPr>
          <w:b/>
          <w:bCs/>
          <w:sz w:val="22"/>
          <w:szCs w:val="22"/>
        </w:rPr>
        <w:t xml:space="preserve">Warn about credit repair scams.</w:t>
      </w:r>
      <w:r>
        <w:rPr>
          <w:sz w:val="22"/>
          <w:szCs w:val="22"/>
        </w:rPr>
        <w:t xml:space="preserve"> Accurate negative information cannot be removed by a paid service. Participants can dispute errors themselves for free.</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credit, collections, budgeting or foreclosure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300"/>
        <w:gridCol w:w="31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3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31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 to 4</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1.1: Credit scores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 to 10</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A (page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1.2: Reading your credit report</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11 to 14</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B (page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1.3: Improving your score</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 to 18</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C (page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1.4: Debt-to-income ratio</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19 to 24</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D (pages 6 and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1.5: Emergency fund before you buy</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25 to 27</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Worksheet E (page 8)</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28</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Quiz (page 9)</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3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29 to 30</w:t>
            </w:r>
          </w:p>
        </w:tc>
        <w:tc>
          <w:tcPr>
            <w:tcW w:type="dxa" w:w="3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(page 10)</w:t>
            </w:r>
          </w:p>
        </w:tc>
      </w:tr>
    </w:tbl>
    <w:p>
      <w:pPr>
        <w:spacing w:after="100" w:before="120"/>
      </w:pPr>
      <w:r>
        <w:rPr>
          <w:sz w:val="22"/>
          <w:szCs w:val="22"/>
        </w:rPr>
        <w:t xml:space="preserve">Total: 195 minutes. If you only have two hours, teach Lessons 1.1, 1.3 and 1.4 live and assign 1.2 and 1.5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worksheets that match each lesson.</w:t>
      </w:r>
    </w:p>
    <w:p>
      <w:pPr>
        <w:pStyle w:val="ListParagraph"/>
        <w:numPr>
          <w:ilvl w:val="0"/>
          <w:numId w:val="4"/>
        </w:numPr>
        <w:spacing w:after="60"/>
      </w:pPr>
      <w:r>
        <w:rPr>
          <w:sz w:val="22"/>
          <w:szCs w:val="22"/>
        </w:rPr>
        <w:t xml:space="preserve">Warm-up question for the room: "What is one thing you have heard about credit scores that you are not sure is true?" Write answers on the flip chart and revisit at the end of Lesson 1.1.</w:t>
      </w:r>
    </w:p>
    <w:p>
      <w:r>
        <w:br w:type="page"/>
      </w:r>
    </w:p>
    <w:p>
      <w:pPr>
        <w:pStyle w:val="Heading2"/>
        <w:keepNext/>
      </w:pPr>
      <w:r>
        <w:t xml:space="preserve">Lesson 1.1: Credit Scores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10</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A: My score snapshot (page 2)</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A credit score is a three-digit number that tells a lender how reliably you have managed debt. Better scores mean better rates and more loan programs.</w:t>
      </w:r>
    </w:p>
    <w:p>
      <w:pPr>
        <w:pStyle w:val="ListParagraph"/>
        <w:numPr>
          <w:ilvl w:val="0"/>
          <w:numId w:val="3"/>
        </w:numPr>
        <w:spacing w:after="50"/>
      </w:pPr>
      <w:r>
        <w:rPr>
          <w:sz w:val="22"/>
          <w:szCs w:val="22"/>
        </w:rPr>
        <w:t xml:space="preserve">Mortgage lenders mainly use FICO versions built for mortgage lending (FICO Scores 2, 4 and 5). They pull all three bureaus: Equifax, Experian and TransUnion.</w:t>
      </w:r>
    </w:p>
    <w:p>
      <w:pPr>
        <w:pStyle w:val="ListParagraph"/>
        <w:numPr>
          <w:ilvl w:val="0"/>
          <w:numId w:val="3"/>
        </w:numPr>
        <w:spacing w:after="50"/>
      </w:pPr>
      <w:r>
        <w:rPr>
          <w:sz w:val="22"/>
          <w:szCs w:val="22"/>
        </w:rPr>
        <w:t xml:space="preserve">Lenders use the </w:t>
      </w:r>
      <w:r>
        <w:rPr>
          <w:b/>
          <w:bCs/>
          <w:sz w:val="22"/>
          <w:szCs w:val="22"/>
        </w:rPr>
        <w:t xml:space="preserve">middle</w:t>
      </w:r>
      <w:r>
        <w:rPr>
          <w:sz w:val="22"/>
          <w:szCs w:val="22"/>
        </w:rPr>
        <w:t xml:space="preserve"> of the three scores for one borrower. For co-borrowers, they use the </w:t>
      </w:r>
      <w:r>
        <w:rPr>
          <w:b/>
          <w:bCs/>
          <w:sz w:val="22"/>
          <w:szCs w:val="22"/>
        </w:rPr>
        <w:t xml:space="preserve">lower of the two middle scores</w:t>
      </w:r>
      <w:r>
        <w:rPr>
          <w:sz w:val="22"/>
          <w:szCs w:val="22"/>
        </w:rPr>
        <w:t xml:space="preserve">.</w:t>
      </w:r>
    </w:p>
    <w:p>
      <w:pPr>
        <w:pStyle w:val="ListParagraph"/>
        <w:numPr>
          <w:ilvl w:val="0"/>
          <w:numId w:val="3"/>
        </w:numPr>
        <w:spacing w:after="50"/>
      </w:pPr>
      <w:r>
        <w:rPr>
          <w:sz w:val="22"/>
          <w:szCs w:val="22"/>
        </w:rPr>
        <w:t xml:space="preserve">A score must also be </w:t>
      </w:r>
      <w:r>
        <w:rPr>
          <w:b/>
          <w:bCs/>
          <w:sz w:val="22"/>
          <w:szCs w:val="22"/>
        </w:rPr>
        <w:t xml:space="preserve">predictive</w:t>
      </w:r>
      <w:r>
        <w:rPr>
          <w:sz w:val="22"/>
          <w:szCs w:val="22"/>
        </w:rPr>
        <w:t xml:space="preserve">: generally at least 3 open, active accounts, with at least one open 12 months or longer. A strong number built on thin history may not be usable.</w:t>
      </w:r>
    </w:p>
    <w:p>
      <w:pPr>
        <w:pStyle w:val="ListParagraph"/>
        <w:numPr>
          <w:ilvl w:val="0"/>
          <w:numId w:val="3"/>
        </w:numPr>
        <w:spacing w:after="50"/>
      </w:pPr>
      <w:r>
        <w:rPr>
          <w:sz w:val="22"/>
          <w:szCs w:val="22"/>
        </w:rPr>
        <w:t xml:space="preserve">A credit card is "active" only if it is used. A card untouched for two years does not count. Use it at least once every six months and pay it off.</w:t>
      </w:r>
    </w:p>
    <w:p>
      <w:pPr>
        <w:pStyle w:val="ListParagraph"/>
        <w:numPr>
          <w:ilvl w:val="0"/>
          <w:numId w:val="3"/>
        </w:numPr>
        <w:spacing w:after="50"/>
      </w:pPr>
      <w:r>
        <w:rPr>
          <w:sz w:val="22"/>
          <w:szCs w:val="22"/>
        </w:rPr>
        <w:t xml:space="preserve">Revolving credit (cards) carries more weight than installment loans for the predictive score, because it shows how you handle a variable line.</w:t>
      </w:r>
    </w:p>
    <w:p>
      <w:pPr>
        <w:pStyle w:val="ListParagraph"/>
        <w:numPr>
          <w:ilvl w:val="0"/>
          <w:numId w:val="3"/>
        </w:numPr>
        <w:spacing w:after="50"/>
      </w:pPr>
      <w:r>
        <w:rPr>
          <w:sz w:val="22"/>
          <w:szCs w:val="22"/>
        </w:rPr>
        <w:t xml:space="preserve">Score range is 300 to 850. Walk through the range table on slide 6 and the program impact column.</w:t>
      </w:r>
    </w:p>
    <w:p>
      <w:pPr>
        <w:pStyle w:val="ListParagraph"/>
        <w:numPr>
          <w:ilvl w:val="0"/>
          <w:numId w:val="3"/>
        </w:numPr>
        <w:spacing w:after="50"/>
      </w:pPr>
      <w:r>
        <w:rPr>
          <w:sz w:val="22"/>
          <w:szCs w:val="22"/>
        </w:rPr>
        <w:t xml:space="preserve">Five factors: payment history 35%, amounts owed (utilization) 30%, length of history 15%, credit mix 10%, new credit 10%. A 30-day late can drop a score 60 to 100 points and stays seven years.</w:t>
      </w:r>
    </w:p>
    <w:p>
      <w:pPr>
        <w:pStyle w:val="ListParagraph"/>
        <w:numPr>
          <w:ilvl w:val="0"/>
          <w:numId w:val="3"/>
        </w:numPr>
        <w:spacing w:after="50"/>
      </w:pPr>
      <w:r>
        <w:rPr>
          <w:sz w:val="22"/>
          <w:szCs w:val="22"/>
        </w:rPr>
        <w:t xml:space="preserve">Utilization is the most responsive factor. Under 50% per card is the first milestone, under 30% is better, under 10% is best.</w:t>
      </w:r>
    </w:p>
    <w:p>
      <w:pPr>
        <w:pStyle w:val="ListParagraph"/>
        <w:numPr>
          <w:ilvl w:val="0"/>
          <w:numId w:val="3"/>
        </w:numPr>
        <w:spacing w:after="50"/>
      </w:pPr>
      <w:r>
        <w:rPr>
          <w:sz w:val="22"/>
          <w:szCs w:val="22"/>
        </w:rPr>
        <w:t xml:space="preserve">A hard inquiry can lower a score 5 to 15 points temporarily. Mortgage rate shopping within a short window (about 30 days) counts as one inquiry.</w:t>
      </w:r>
    </w:p>
    <w:p>
      <w:pPr>
        <w:pStyle w:val="Heading3"/>
        <w:keepNext/>
      </w:pPr>
      <w:r>
        <w:t xml:space="preserve">Talk track</w:t>
      </w:r>
    </w:p>
    <w:p>
      <w:pPr>
        <w:spacing w:after="100" w:before="0"/>
      </w:pPr>
      <w:r>
        <w:rPr>
          <w:i/>
          <w:iCs/>
          <w:sz w:val="22"/>
          <w:szCs w:val="22"/>
        </w:rPr>
        <w:t xml:space="preserve">"Your score is a quick risk measure. Lenders cannot interview you about your habits, so they read your history. Today we are going to look at what goes into that number so you know where to put your effort. The biggest lever you control quickly is utilization. The biggest lever over time is paying on time, every time."</w:t>
      </w:r>
    </w:p>
    <w:p>
      <w:pPr>
        <w:pStyle w:val="Heading3"/>
        <w:keepNext/>
      </w:pPr>
      <w:r>
        <w:t xml:space="preserve">Activity 1: Find the middle score (8 minutes)</w:t>
      </w:r>
    </w:p>
    <w:p>
      <w:pPr>
        <w:spacing w:after="100" w:before="0"/>
      </w:pPr>
      <w:r>
        <w:rPr>
          <w:sz w:val="22"/>
          <w:szCs w:val="22"/>
        </w:rPr>
        <w:t xml:space="preserve">Give participants three mini-cases. They work in pairs, then share.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800"/>
        <w:gridCol w:w="5400"/>
        <w:gridCol w:w="3880"/>
      </w:tblGrid>
      <w:tr>
        <w:trPr>
          <w:tblHeader/>
        </w:trPr>
        <w:tc>
          <w:tcPr>
            <w:tcW w:type="dxa" w:w="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Case</w:t>
            </w:r>
          </w:p>
        </w:tc>
        <w:tc>
          <w:tcPr>
            <w:tcW w:type="dxa" w:w="54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Scenario</w:t>
            </w:r>
          </w:p>
        </w:tc>
        <w:tc>
          <w:tcPr>
            <w:tcW w:type="dxa" w:w="3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5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One borrower has scores of 702 (Equifax), 688 (Experian) and 715 (TransUnion). Which score does the lender use?</w:t>
            </w:r>
          </w:p>
        </w:tc>
        <w:tc>
          <w:tcPr>
            <w:tcW w:type="dxa" w:w="3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702, the middle score.</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5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Two co-borrowers. Borrower 1: 720, 705, 698. Borrower 2: 660, 672, 681. Which score does the lender use?</w:t>
            </w:r>
          </w:p>
        </w:tc>
        <w:tc>
          <w:tcPr>
            <w:tcW w:type="dxa" w:w="3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Middle scores are 705 and 672. The lender uses the lower of the two, 672.</w:t>
            </w:r>
          </w:p>
        </w:tc>
      </w:tr>
      <w:tr>
        <w:trPr>
          <w:cantSplit/>
        </w:trPr>
        <w:tc>
          <w:tcPr>
            <w:tcW w:type="dxa" w:w="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5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borrower has a 740 score, but only two open accounts, and the newer one is 8 months old. Is this score likely usable?</w:t>
            </w:r>
          </w:p>
        </w:tc>
        <w:tc>
          <w:tcPr>
            <w:tcW w:type="dxa" w:w="3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Probably not. Fewer than 3 active accounts and none open 12 months. The score may not be predictive. Open and use a card, then wait.</w:t>
            </w:r>
          </w:p>
        </w:tc>
      </w:tr>
    </w:tbl>
    <w:p>
      <w:pPr>
        <w:spacing w:after="80"/>
      </w:pPr>
    </w:p>
    <w:p>
      <w:pPr>
        <w:pStyle w:val="Heading3"/>
        <w:keepNext/>
      </w:pPr>
      <w:r>
        <w:t xml:space="preserve">Activity 2: Rank the five factors (5 minutes)</w:t>
      </w:r>
    </w:p>
    <w:p>
      <w:pPr>
        <w:spacing w:after="100" w:before="0"/>
      </w:pPr>
      <w:r>
        <w:rPr>
          <w:sz w:val="22"/>
          <w:szCs w:val="22"/>
        </w:rPr>
        <w:t xml:space="preserve">Write the five factors on the board without percentages. Ask the room to vote on the order of weight. Reveal the percentages from slide 8. Ask: "Which surprised you? Where do you stand on each?" Then have participants complete the five-factor table and Worksheet A in the workbook.</w:t>
      </w:r>
    </w:p>
    <w:p>
      <w:pPr>
        <w:pStyle w:val="Heading3"/>
        <w:keepNext/>
      </w:pPr>
      <w:r>
        <w:t xml:space="preserve">Discussion questions</w:t>
      </w:r>
    </w:p>
    <w:p>
      <w:pPr>
        <w:pStyle w:val="ListParagraph"/>
        <w:numPr>
          <w:ilvl w:val="0"/>
          <w:numId w:val="3"/>
        </w:numPr>
        <w:spacing w:after="50"/>
      </w:pPr>
      <w:r>
        <w:rPr>
          <w:sz w:val="22"/>
          <w:szCs w:val="22"/>
        </w:rPr>
        <w:t xml:space="preserve">"If you could only change one factor in the next 90 days, which would it be and why?"</w:t>
      </w:r>
    </w:p>
    <w:p>
      <w:pPr>
        <w:pStyle w:val="ListParagraph"/>
        <w:numPr>
          <w:ilvl w:val="0"/>
          <w:numId w:val="3"/>
        </w:numPr>
        <w:spacing w:after="50"/>
      </w:pPr>
      <w:r>
        <w:rPr>
          <w:sz w:val="22"/>
          <w:szCs w:val="22"/>
        </w:rPr>
        <w:t xml:space="preserve">"Why do you think a lender cares whether a card is actually used?"</w:t>
      </w:r>
    </w:p>
    <w:p>
      <w:pPr>
        <w:pStyle w:val="Heading3"/>
        <w:keepNext/>
      </w:pPr>
      <w:r>
        <w:t xml:space="preserve">Common misconceptions to address</w:t>
      </w:r>
    </w:p>
    <w:p>
      <w:pPr>
        <w:pStyle w:val="ListParagraph"/>
        <w:numPr>
          <w:ilvl w:val="0"/>
          <w:numId w:val="3"/>
        </w:numPr>
        <w:spacing w:after="50"/>
      </w:pPr>
      <w:r>
        <w:rPr>
          <w:sz w:val="22"/>
          <w:szCs w:val="22"/>
        </w:rPr>
        <w:t xml:space="preserve">"Checking my own credit lowers my score." Soft inquiries, such as checking your own report, do not affect your score.</w:t>
      </w:r>
    </w:p>
    <w:p>
      <w:pPr>
        <w:pStyle w:val="ListParagraph"/>
        <w:numPr>
          <w:ilvl w:val="0"/>
          <w:numId w:val="3"/>
        </w:numPr>
        <w:spacing w:after="50"/>
      </w:pPr>
      <w:r>
        <w:rPr>
          <w:sz w:val="22"/>
          <w:szCs w:val="22"/>
        </w:rPr>
        <w:t xml:space="preserve">"Closing old cards helps." Closing a card reduces available credit and can shorten average account age. It usually hurts.</w:t>
      </w:r>
    </w:p>
    <w:p>
      <w:pPr>
        <w:pStyle w:val="ListParagraph"/>
        <w:numPr>
          <w:ilvl w:val="0"/>
          <w:numId w:val="3"/>
        </w:numPr>
        <w:spacing w:after="50"/>
      </w:pPr>
      <w:r>
        <w:rPr>
          <w:sz w:val="22"/>
          <w:szCs w:val="22"/>
        </w:rPr>
        <w:t xml:space="preserve">"Shopping lenders will wreck my score." Mortgage inquiries in a short window count as one.</w:t>
      </w:r>
    </w:p>
    <w:p>
      <w:pPr>
        <w:pStyle w:val="ListParagraph"/>
        <w:numPr>
          <w:ilvl w:val="0"/>
          <w:numId w:val="3"/>
        </w:numPr>
        <w:spacing w:after="50"/>
      </w:pPr>
      <w:r>
        <w:rPr>
          <w:sz w:val="22"/>
          <w:szCs w:val="22"/>
        </w:rPr>
        <w:t xml:space="preserve">"Income raises my score." Income is not one of the five factors. It matters for qualifying, which we cover in Lesson 1.4.</w:t>
      </w:r>
    </w:p>
    <w:p>
      <w:pPr>
        <w:spacing w:after="100" w:before="80"/>
      </w:pPr>
      <w:r>
        <w:rPr>
          <w:sz w:val="22"/>
          <w:szCs w:val="22"/>
        </w:rPr>
        <w:t xml:space="preserve">Return to the warm-up questions on the flip chart and check which beliefs turned out to be myths.</w:t>
      </w:r>
    </w:p>
    <w:p>
      <w:r>
        <w:br w:type="page"/>
      </w:r>
    </w:p>
    <w:p>
      <w:pPr>
        <w:pStyle w:val="Heading2"/>
        <w:keepNext/>
      </w:pPr>
      <w:r>
        <w:t xml:space="preserve">Lesson 1.2: Reading Your Credit Report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11 to 14</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B: Report review and error log (page 4)</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Your score is the outcome. Your report is the reason. Review it 6 to 12 months before applying.</w:t>
      </w:r>
    </w:p>
    <w:p>
      <w:pPr>
        <w:pStyle w:val="ListParagraph"/>
        <w:numPr>
          <w:ilvl w:val="0"/>
          <w:numId w:val="3"/>
        </w:numPr>
        <w:spacing w:after="50"/>
      </w:pPr>
      <w:r>
        <w:rPr>
          <w:sz w:val="22"/>
          <w:szCs w:val="22"/>
        </w:rPr>
        <w:t xml:space="preserve">Free reports: AnnualCreditReport.com is the federally mandated site for one free report per year from each bureau. Pull all three, since creditors do not always report to every bureau.</w:t>
      </w:r>
    </w:p>
    <w:p>
      <w:pPr>
        <w:pStyle w:val="ListParagraph"/>
        <w:numPr>
          <w:ilvl w:val="0"/>
          <w:numId w:val="3"/>
        </w:numPr>
        <w:spacing w:after="50"/>
      </w:pPr>
      <w:r>
        <w:rPr>
          <w:sz w:val="22"/>
          <w:szCs w:val="22"/>
        </w:rPr>
        <w:t xml:space="preserve">Four sections: personal information (watch for errors that hint at identity theft or file mixing), account history, inquiries (hard inquiries stay two years, affect score about one year), public records.</w:t>
      </w:r>
    </w:p>
    <w:p>
      <w:pPr>
        <w:pStyle w:val="ListParagraph"/>
        <w:numPr>
          <w:ilvl w:val="0"/>
          <w:numId w:val="3"/>
        </w:numPr>
        <w:spacing w:after="50"/>
      </w:pPr>
      <w:r>
        <w:rPr>
          <w:sz w:val="22"/>
          <w:szCs w:val="22"/>
        </w:rPr>
        <w:t xml:space="preserve">Public records have changed. Bankruptcies are still reported (Chapter 7 for 10 years, Chapter 13 for 7). Since July 2017 the bureaus removed nearly all civil judgments and tax liens, but lenders and title companies run their own public record searches, so a lien can still surface at closing.</w:t>
      </w:r>
    </w:p>
    <w:p>
      <w:pPr>
        <w:pStyle w:val="ListParagraph"/>
        <w:numPr>
          <w:ilvl w:val="0"/>
          <w:numId w:val="3"/>
        </w:numPr>
        <w:spacing w:after="50"/>
      </w:pPr>
      <w:r>
        <w:rPr>
          <w:sz w:val="22"/>
          <w:szCs w:val="22"/>
        </w:rPr>
        <w:t xml:space="preserve">Medical debt rules are in flux. A CFPB rule banning medical debt from reports was vacated by a federal court in July 2025. The bureaus have voluntarily removed medical collections under $500, and newer scoring models do not count medical debt against you. Verify the current status before class (Appendix H).</w:t>
      </w:r>
    </w:p>
    <w:p>
      <w:pPr>
        <w:pStyle w:val="ListParagraph"/>
        <w:numPr>
          <w:ilvl w:val="0"/>
          <w:numId w:val="3"/>
        </w:numPr>
        <w:spacing w:after="50"/>
      </w:pPr>
      <w:r>
        <w:rPr>
          <w:sz w:val="22"/>
          <w:szCs w:val="22"/>
        </w:rPr>
        <w:t xml:space="preserve">The FTC has found roughly one in five consumers has an error on at least one report.</w:t>
      </w:r>
    </w:p>
    <w:p>
      <w:pPr>
        <w:pStyle w:val="ListParagraph"/>
        <w:numPr>
          <w:ilvl w:val="0"/>
          <w:numId w:val="3"/>
        </w:numPr>
        <w:spacing w:after="50"/>
      </w:pPr>
      <w:r>
        <w:rPr>
          <w:sz w:val="22"/>
          <w:szCs w:val="22"/>
        </w:rPr>
        <w:t xml:space="preserve">Dispute errors directly with the bureau showing them, with documentation. The bureau has 30 days to investigate. Allow 45 to 90 days total. Start at least six months before applying, not two weeks.</w:t>
      </w:r>
    </w:p>
    <w:p>
      <w:pPr>
        <w:pStyle w:val="Heading3"/>
        <w:keepNext/>
      </w:pPr>
      <w:r>
        <w:t xml:space="preserve">Talk track</w:t>
      </w:r>
    </w:p>
    <w:p>
      <w:pPr>
        <w:spacing w:after="100" w:before="0"/>
      </w:pPr>
      <w:r>
        <w:rPr>
          <w:i/>
          <w:iCs/>
          <w:sz w:val="22"/>
          <w:szCs w:val="22"/>
        </w:rPr>
        <w:t xml:space="preserve">"You would not buy a house without an inspection. Your credit report is the inspection of your financial history. Errors are common and fixable, but they are only fixable if you find them early."</w:t>
      </w:r>
    </w:p>
    <w:p>
      <w:pPr>
        <w:pStyle w:val="Heading3"/>
        <w:keepNext/>
      </w:pPr>
      <w:r>
        <w:t xml:space="preserve">Activity: Spot the errors (15 minutes)</w:t>
      </w:r>
    </w:p>
    <w:p>
      <w:pPr>
        <w:pStyle w:val="ListParagraph"/>
        <w:numPr>
          <w:ilvl w:val="0"/>
          <w:numId w:val="5"/>
        </w:numPr>
        <w:spacing w:after="60"/>
      </w:pPr>
      <w:r>
        <w:rPr>
          <w:sz w:val="22"/>
          <w:szCs w:val="22"/>
        </w:rPr>
        <w:t xml:space="preserve">Hand each pair the fictional sample report in Appendix F. Tell them the borrower, Jordan, has told you the facts listed on the sheet.</w:t>
      </w:r>
    </w:p>
    <w:p>
      <w:pPr>
        <w:pStyle w:val="ListParagraph"/>
        <w:numPr>
          <w:ilvl w:val="0"/>
          <w:numId w:val="5"/>
        </w:numPr>
        <w:spacing w:after="60"/>
      </w:pPr>
      <w:r>
        <w:rPr>
          <w:sz w:val="22"/>
          <w:szCs w:val="22"/>
        </w:rPr>
        <w:t xml:space="preserve">Pairs circle every item that looks wrong and every item that is accurate but needs work. 6 minutes.</w:t>
      </w:r>
    </w:p>
    <w:p>
      <w:pPr>
        <w:pStyle w:val="ListParagraph"/>
        <w:numPr>
          <w:ilvl w:val="0"/>
          <w:numId w:val="5"/>
        </w:numPr>
        <w:spacing w:after="60"/>
      </w:pPr>
      <w:r>
        <w:rPr>
          <w:sz w:val="22"/>
          <w:szCs w:val="22"/>
        </w:rPr>
        <w:t xml:space="preserve">Review as a group using the answer key in Appendix F. For each error, ask: "Which bureau do you dispute with, and what documentation would you send?"</w:t>
      </w:r>
    </w:p>
    <w:p>
      <w:pPr>
        <w:pStyle w:val="ListParagraph"/>
        <w:numPr>
          <w:ilvl w:val="0"/>
          <w:numId w:val="5"/>
        </w:numPr>
        <w:spacing w:after="60"/>
      </w:pPr>
      <w:r>
        <w:rPr>
          <w:sz w:val="22"/>
          <w:szCs w:val="22"/>
        </w:rPr>
        <w:t xml:space="preserve">Have participants record one practice error in the error log on workbook page 4.</w:t>
      </w:r>
    </w:p>
    <w:p>
      <w:pPr>
        <w:pStyle w:val="Heading3"/>
        <w:keepNext/>
      </w:pPr>
      <w:r>
        <w:t xml:space="preserve">Discussion questions</w:t>
      </w:r>
    </w:p>
    <w:p>
      <w:pPr>
        <w:pStyle w:val="ListParagraph"/>
        <w:numPr>
          <w:ilvl w:val="0"/>
          <w:numId w:val="3"/>
        </w:numPr>
        <w:spacing w:after="50"/>
      </w:pPr>
      <w:r>
        <w:rPr>
          <w:sz w:val="22"/>
          <w:szCs w:val="22"/>
        </w:rPr>
        <w:t xml:space="preserve">"Why pull all three reports rather than one?"</w:t>
      </w:r>
    </w:p>
    <w:p>
      <w:pPr>
        <w:pStyle w:val="ListParagraph"/>
        <w:numPr>
          <w:ilvl w:val="0"/>
          <w:numId w:val="3"/>
        </w:numPr>
        <w:spacing w:after="50"/>
      </w:pPr>
      <w:r>
        <w:rPr>
          <w:sz w:val="22"/>
          <w:szCs w:val="22"/>
        </w:rPr>
        <w:t xml:space="preserve">"Why start disputes six months before applying?"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Facilitator note</w:t>
            </w:r>
          </w:p>
          <w:p>
            <w:pPr>
              <w:spacing w:after="50"/>
            </w:pPr>
            <w:r>
              <w:rPr>
                <w:sz w:val="21"/>
                <w:szCs w:val="21"/>
              </w:rPr>
              <w:t xml:space="preserve">Participants may ask whether to pay a credit repair company. Say clearly: you can dispute errors yourself for free, and no company can legally remove accurate negative items. Refer anyone with collections or complex issues to a HUD-approved housing counselor.</w:t>
            </w:r>
          </w:p>
        </w:tc>
      </w:tr>
    </w:tbl>
    <w:p>
      <w:r>
        <w:br w:type="page"/>
      </w:r>
    </w:p>
    <w:p>
      <w:pPr>
        <w:pStyle w:val="Heading2"/>
        <w:keepNext/>
      </w:pPr>
      <w:r>
        <w:t xml:space="preserve">Lesson 1.3: Improving Your Score Before You Apply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15 to 18</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C: Utilization and action plan (page 5)</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Why it matters: a 60-point difference can mean about half a point of interest rate. On a $350,000 loan that is roughly $115 a month, or about $41,000 over 30 years.</w:t>
      </w:r>
    </w:p>
    <w:p>
      <w:pPr>
        <w:pStyle w:val="ListParagraph"/>
        <w:numPr>
          <w:ilvl w:val="0"/>
          <w:numId w:val="3"/>
        </w:numPr>
        <w:spacing w:after="50"/>
      </w:pPr>
      <w:r>
        <w:rPr>
          <w:b/>
          <w:bCs/>
          <w:sz w:val="22"/>
          <w:szCs w:val="22"/>
        </w:rPr>
        <w:t xml:space="preserve">Quick wins (30 to 90 days):</w:t>
      </w:r>
      <w:r>
        <w:rPr>
          <w:sz w:val="22"/>
          <w:szCs w:val="22"/>
        </w:rPr>
        <w:t xml:space="preserve"> pay down card balances, pay every bill on time for 6+ months, keep old accounts open, avoid new credit for 12 months before applying.</w:t>
      </w:r>
    </w:p>
    <w:p>
      <w:pPr>
        <w:pStyle w:val="ListParagraph"/>
        <w:numPr>
          <w:ilvl w:val="0"/>
          <w:numId w:val="3"/>
        </w:numPr>
        <w:spacing w:after="50"/>
      </w:pPr>
      <w:r>
        <w:rPr>
          <w:b/>
          <w:bCs/>
          <w:sz w:val="22"/>
          <w:szCs w:val="22"/>
        </w:rPr>
        <w:t xml:space="preserve">Longer term (6 to 24 months):</w:t>
      </w:r>
      <w:r>
        <w:rPr>
          <w:sz w:val="22"/>
          <w:szCs w:val="22"/>
        </w:rPr>
        <w:t xml:space="preserve"> authorized user on a long-standing, low-balance account (only with the cardholder's permission and understanding of the risk), request a credit limit increase (ask whether it needs a hard pull), address collections with a HUD-approved housing counselor.</w:t>
      </w:r>
    </w:p>
    <w:p>
      <w:pPr>
        <w:pStyle w:val="ListParagraph"/>
        <w:numPr>
          <w:ilvl w:val="0"/>
          <w:numId w:val="3"/>
        </w:numPr>
        <w:spacing w:after="50"/>
      </w:pPr>
      <w:r>
        <w:rPr>
          <w:b/>
          <w:bCs/>
          <w:sz w:val="22"/>
          <w:szCs w:val="22"/>
        </w:rPr>
        <w:t xml:space="preserve">Do not:</w:t>
      </w:r>
      <w:r>
        <w:rPr>
          <w:sz w:val="22"/>
          <w:szCs w:val="22"/>
        </w:rPr>
        <w:t xml:space="preserve"> close cards to simplify, pay off an old installment loan with a clean history, open a new card to lower utilization on another, or hire a credit repair service that promises to remove accurate negatives.</w:t>
      </w:r>
    </w:p>
    <w:p>
      <w:pPr>
        <w:pStyle w:val="ListParagraph"/>
        <w:numPr>
          <w:ilvl w:val="0"/>
          <w:numId w:val="3"/>
        </w:numPr>
        <w:spacing w:after="50"/>
      </w:pPr>
      <w:r>
        <w:rPr>
          <w:sz w:val="22"/>
          <w:szCs w:val="22"/>
        </w:rPr>
        <w:t xml:space="preserve">On collections: newer FICO models used for other lending ignore paid collections, but many mortgage scoring models still factor in collections, paid or unpaid. Do not give strategy advice in class. Refer to a counselor.</w:t>
      </w:r>
    </w:p>
    <w:p>
      <w:pPr>
        <w:pStyle w:val="Heading3"/>
        <w:keepNext/>
      </w:pPr>
      <w:r>
        <w:t xml:space="preserve">Talk track</w:t>
      </w:r>
    </w:p>
    <w:p>
      <w:pPr>
        <w:spacing w:after="100" w:before="0"/>
      </w:pPr>
      <w:r>
        <w:rPr>
          <w:i/>
          <w:iCs/>
          <w:sz w:val="22"/>
          <w:szCs w:val="22"/>
        </w:rPr>
        <w:t xml:space="preserve">"Do not let perfect be the enemy of good. If you are sitting at 80% utilization and can get to 45%, do it. You will see the improvement at your next statement."</w:t>
      </w:r>
    </w:p>
    <w:p>
      <w:pPr>
        <w:pStyle w:val="Heading3"/>
        <w:keepNext/>
      </w:pPr>
      <w:r>
        <w:t xml:space="preserve">Activity: Utilization math (12 minutes)</w:t>
      </w:r>
    </w:p>
    <w:p>
      <w:pPr>
        <w:spacing w:after="100" w:before="0"/>
      </w:pPr>
      <w:r>
        <w:rPr>
          <w:sz w:val="22"/>
          <w:szCs w:val="22"/>
        </w:rPr>
        <w:t xml:space="preserve">Write this on the board. Participants calculate each card's utilization on workbook page 5.</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800"/>
        <w:gridCol w:w="1600"/>
        <w:gridCol w:w="1600"/>
        <w:gridCol w:w="1800"/>
        <w:gridCol w:w="3280"/>
      </w:tblGrid>
      <w:tr>
        <w:trPr>
          <w:tblHeader/>
        </w:trPr>
        <w:tc>
          <w:tcPr>
            <w:tcW w:type="dxa" w:w="1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Card</w:t>
            </w:r>
          </w:p>
        </w:tc>
        <w:tc>
          <w:tcPr>
            <w:tcW w:type="dxa" w:w="1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Limit</w:t>
            </w:r>
          </w:p>
        </w:tc>
        <w:tc>
          <w:tcPr>
            <w:tcW w:type="dxa" w:w="1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Balance</w:t>
            </w:r>
          </w:p>
        </w:tc>
        <w:tc>
          <w:tcPr>
            <w:tcW w:type="dxa" w:w="1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Utilization</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Pay down to reach 50% | 30%</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$5,000</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$1,500 | $2,500</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$3,000</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$900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Already at 30%</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$2,000</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$1,600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$600 | $1,000</w:t>
            </w:r>
          </w:p>
        </w:tc>
      </w:tr>
      <w:tr>
        <w:trPr>
          <w:cantSplit/>
        </w:trPr>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Total</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$10,000</w:t>
            </w:r>
          </w:p>
        </w:tc>
        <w:tc>
          <w:tcPr>
            <w:tcW w:type="dxa" w:w="1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$6,500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65%</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Everything to 50%: $2,100. Everything to 30%: $3,500.</w:t>
            </w:r>
          </w:p>
        </w:tc>
      </w:tr>
    </w:tbl>
    <w:p>
      <w:pPr>
        <w:spacing w:after="100" w:before="100"/>
      </w:pPr>
      <w:r>
        <w:rPr>
          <w:sz w:val="22"/>
          <w:szCs w:val="22"/>
        </w:rPr>
        <w:t xml:space="preserve">Ask: "If you only have $2,000 this month, where do you put it?" There is no single right answer. Guide the discussion toward getting each card under 50% first, then continuing. Note that one card at 80% and a total at 65% both matter.</w:t>
      </w:r>
    </w:p>
    <w:p>
      <w:pPr>
        <w:pStyle w:val="Heading3"/>
        <w:keepNext/>
      </w:pPr>
      <w:r>
        <w:t xml:space="preserve">Activity: Should I close this card? (5 minutes)</w:t>
      </w:r>
    </w:p>
    <w:p>
      <w:pPr>
        <w:spacing w:after="100" w:before="0"/>
      </w:pPr>
      <w:r>
        <w:rPr>
          <w:sz w:val="22"/>
          <w:szCs w:val="22"/>
        </w:rPr>
        <w:t xml:space="preserve">Read each scenario aloud and take a show of hands. Answer: in all three, leaving the account open is usually better.</w:t>
      </w:r>
    </w:p>
    <w:p>
      <w:pPr>
        <w:pStyle w:val="ListParagraph"/>
        <w:numPr>
          <w:ilvl w:val="0"/>
          <w:numId w:val="3"/>
        </w:numPr>
        <w:spacing w:after="50"/>
      </w:pPr>
      <w:r>
        <w:rPr>
          <w:sz w:val="22"/>
          <w:szCs w:val="22"/>
        </w:rPr>
        <w:t xml:space="preserve">A card with a $0 balance and no annual fee that you never use. (Keep it open. Put a small recurring charge on it and pay it off.)</w:t>
      </w:r>
    </w:p>
    <w:p>
      <w:pPr>
        <w:pStyle w:val="ListParagraph"/>
        <w:numPr>
          <w:ilvl w:val="0"/>
          <w:numId w:val="3"/>
        </w:numPr>
        <w:spacing w:after="50"/>
      </w:pPr>
      <w:r>
        <w:rPr>
          <w:sz w:val="22"/>
          <w:szCs w:val="22"/>
        </w:rPr>
        <w:t xml:space="preserve">A card you opened at 19 and still have. (Keep it. It anchors your average account age.)</w:t>
      </w:r>
    </w:p>
    <w:p>
      <w:pPr>
        <w:pStyle w:val="ListParagraph"/>
        <w:numPr>
          <w:ilvl w:val="0"/>
          <w:numId w:val="3"/>
        </w:numPr>
        <w:spacing w:after="50"/>
      </w:pPr>
      <w:r>
        <w:rPr>
          <w:sz w:val="22"/>
          <w:szCs w:val="22"/>
        </w:rPr>
        <w:t xml:space="preserve">A card with a high annual fee you do not want. (This is the one case where closing may make sense. Call the issuer about a no-fee version first.)</w:t>
      </w:r>
    </w:p>
    <w:p>
      <w:pPr>
        <w:pStyle w:val="Heading3"/>
        <w:keepNext/>
      </w:pPr>
      <w:r>
        <w:t xml:space="preserve">Discussion questions</w:t>
      </w:r>
    </w:p>
    <w:p>
      <w:pPr>
        <w:pStyle w:val="ListParagraph"/>
        <w:numPr>
          <w:ilvl w:val="0"/>
          <w:numId w:val="3"/>
        </w:numPr>
        <w:spacing w:after="50"/>
      </w:pPr>
      <w:r>
        <w:rPr>
          <w:sz w:val="22"/>
          <w:szCs w:val="22"/>
        </w:rPr>
        <w:t xml:space="preserve">"What is one bill you can put on autopay today so you never pay late?"</w:t>
      </w:r>
    </w:p>
    <w:p>
      <w:r>
        <w:br w:type="page"/>
      </w:r>
    </w:p>
    <w:p>
      <w:pPr>
        <w:pStyle w:val="Heading2"/>
        <w:keepNext/>
      </w:pPr>
      <w:r>
        <w:t xml:space="preserve">Lesson 1.4: Debt-to-Income Ratio</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40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19 to 24</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D: My DTI (pages 6 and 7)</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Your score gets you into the program. Your DTI decides how large a loan you qualify for.</w:t>
      </w:r>
    </w:p>
    <w:p>
      <w:pPr>
        <w:pStyle w:val="ListParagraph"/>
        <w:numPr>
          <w:ilvl w:val="0"/>
          <w:numId w:val="3"/>
        </w:numPr>
        <w:spacing w:after="50"/>
      </w:pPr>
      <w:r>
        <w:rPr>
          <w:b/>
          <w:bCs/>
          <w:sz w:val="22"/>
          <w:szCs w:val="22"/>
        </w:rPr>
        <w:t xml:space="preserve">Front-end DTI (housing ratio):</w:t>
      </w:r>
      <w:r>
        <w:rPr>
          <w:sz w:val="22"/>
          <w:szCs w:val="22"/>
        </w:rPr>
        <w:t xml:space="preserve"> proposed PITI divided by gross monthly income. FHA looks for 31% or below, USDA 29%. Conventional does not use a front-end ratio.</w:t>
      </w:r>
    </w:p>
    <w:p>
      <w:pPr>
        <w:pStyle w:val="ListParagraph"/>
        <w:numPr>
          <w:ilvl w:val="0"/>
          <w:numId w:val="3"/>
        </w:numPr>
        <w:spacing w:after="50"/>
      </w:pPr>
      <w:r>
        <w:rPr>
          <w:b/>
          <w:bCs/>
          <w:sz w:val="22"/>
          <w:szCs w:val="22"/>
        </w:rPr>
        <w:t xml:space="preserve">Back-end DTI (total debt ratio):</w:t>
      </w:r>
      <w:r>
        <w:rPr>
          <w:sz w:val="22"/>
          <w:szCs w:val="22"/>
        </w:rPr>
        <w:t xml:space="preserve"> PITI plus all other minimum monthly debt payments, divided by gross monthly income. Conventional is generally capped around 45 to 50%. FHA standard 43%, up to 57% with compensating factors. VA has no fixed cap, but lenders typically want to see under 41 to 45%.</w:t>
      </w:r>
    </w:p>
    <w:p>
      <w:pPr>
        <w:pStyle w:val="ListParagraph"/>
        <w:numPr>
          <w:ilvl w:val="0"/>
          <w:numId w:val="3"/>
        </w:numPr>
        <w:spacing w:after="50"/>
      </w:pPr>
      <w:r>
        <w:rPr>
          <w:b/>
          <w:bCs/>
          <w:sz w:val="22"/>
          <w:szCs w:val="22"/>
        </w:rPr>
        <w:t xml:space="preserve">Counted:</w:t>
      </w:r>
      <w:r>
        <w:rPr>
          <w:sz w:val="22"/>
          <w:szCs w:val="22"/>
        </w:rPr>
        <w:t xml:space="preserve"> installment loans, credit card minimums, child support and alimony, co-signed loans (even if someone else pays), and rent only in limited cases.</w:t>
      </w:r>
    </w:p>
    <w:p>
      <w:pPr>
        <w:pStyle w:val="ListParagraph"/>
        <w:numPr>
          <w:ilvl w:val="0"/>
          <w:numId w:val="3"/>
        </w:numPr>
        <w:spacing w:after="50"/>
      </w:pPr>
      <w:r>
        <w:rPr>
          <w:b/>
          <w:bCs/>
          <w:sz w:val="22"/>
          <w:szCs w:val="22"/>
        </w:rPr>
        <w:t xml:space="preserve">Not counted:</w:t>
      </w:r>
      <w:r>
        <w:rPr>
          <w:sz w:val="22"/>
          <w:szCs w:val="22"/>
        </w:rPr>
        <w:t xml:space="preserve"> utilities, insurance premiums, subscriptions, groceries, gas, dining and other living expenses.</w:t>
      </w:r>
    </w:p>
    <w:p>
      <w:pPr>
        <w:pStyle w:val="ListParagraph"/>
        <w:numPr>
          <w:ilvl w:val="0"/>
          <w:numId w:val="3"/>
        </w:numPr>
        <w:spacing w:after="50"/>
      </w:pPr>
      <w:r>
        <w:rPr>
          <w:sz w:val="22"/>
          <w:szCs w:val="22"/>
        </w:rPr>
        <w:t xml:space="preserve">A payment that passes conventional can fail FHA solely because of the front-end cap.</w:t>
      </w:r>
    </w:p>
    <w:p>
      <w:pPr>
        <w:pStyle w:val="ListParagraph"/>
        <w:numPr>
          <w:ilvl w:val="0"/>
          <w:numId w:val="3"/>
        </w:numPr>
        <w:spacing w:after="50"/>
      </w:pPr>
      <w:r>
        <w:rPr>
          <w:sz w:val="22"/>
          <w:szCs w:val="22"/>
        </w:rPr>
        <w:t xml:space="preserve">Same borrower, four programs: the module shows one borrower ($7,000 monthly income, $450 other debt, 6.50%, Tarrant County, Texas) qualifying for different maximum prices under Conventional, FHA, VA and USDA, from the Pre-Qualification Calculator. Re-run the calculator before class, since rates and rules change (Appendix H).</w:t>
      </w:r>
    </w:p>
    <w:p>
      <w:pPr>
        <w:pStyle w:val="ListParagraph"/>
        <w:numPr>
          <w:ilvl w:val="0"/>
          <w:numId w:val="3"/>
        </w:numPr>
        <w:spacing w:after="50"/>
      </w:pPr>
      <w:r>
        <w:rPr>
          <w:sz w:val="22"/>
          <w:szCs w:val="22"/>
        </w:rPr>
        <w:t xml:space="preserve">To improve DTI: pay off the debt that removes the </w:t>
      </w:r>
      <w:r>
        <w:rPr>
          <w:b/>
          <w:bCs/>
          <w:sz w:val="22"/>
          <w:szCs w:val="22"/>
        </w:rPr>
        <w:t xml:space="preserve">most monthly payment</w:t>
      </w:r>
      <w:r>
        <w:rPr>
          <w:sz w:val="22"/>
          <w:szCs w:val="22"/>
        </w:rPr>
        <w:t xml:space="preserve"> per dollar, increase documented income, and consider the right loan program.</w:t>
      </w:r>
    </w:p>
    <w:p>
      <w:pPr>
        <w:pStyle w:val="Heading3"/>
        <w:keepNext/>
      </w:pPr>
      <w:r>
        <w:t xml:space="preserve">Talk track</w:t>
      </w:r>
    </w:p>
    <w:p>
      <w:pPr>
        <w:spacing w:after="100" w:before="0"/>
      </w:pPr>
      <w:r>
        <w:rPr>
          <w:i/>
          <w:iCs/>
          <w:sz w:val="22"/>
          <w:szCs w:val="22"/>
        </w:rPr>
        <w:t xml:space="preserve">"Lenders do not care that you pay $90 for your phone and $14 for streaming. They care about contractual debt. That is why a big car payment can matter more than five small cards."</w:t>
      </w:r>
    </w:p>
    <w:p>
      <w:pPr>
        <w:pStyle w:val="Heading3"/>
        <w:keepNext/>
      </w:pPr>
      <w:r>
        <w:t xml:space="preserve">Activity 1: Counted or not counted? (5 minutes)</w:t>
      </w:r>
    </w:p>
    <w:p>
      <w:pPr>
        <w:spacing w:after="100" w:before="0"/>
      </w:pPr>
      <w:r>
        <w:rPr>
          <w:sz w:val="22"/>
          <w:szCs w:val="22"/>
        </w:rPr>
        <w:t xml:space="preserve">Read the list. Participants call out "counted" or "not counted."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Counted in DTI</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 counted in DTI</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Car loan; minimum credit card payment; co-signed loan; child support</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Streaming service; electric bill; auto insurance; gym membership; cell phone; rent (in most cases)</w:t>
            </w:r>
          </w:p>
        </w:tc>
      </w:tr>
    </w:tbl>
    <w:p>
      <w:pPr>
        <w:spacing w:after="80"/>
      </w:pPr>
    </w:p>
    <w:p>
      <w:pPr>
        <w:pStyle w:val="Heading3"/>
        <w:keepNext/>
      </w:pPr>
      <w:r>
        <w:t xml:space="preserve">Activity 2: Calculate DTI (15 minutes)</w:t>
      </w:r>
    </w:p>
    <w:p>
      <w:pPr>
        <w:spacing w:after="100" w:before="0"/>
      </w:pPr>
      <w:r>
        <w:rPr>
          <w:sz w:val="22"/>
          <w:szCs w:val="22"/>
        </w:rPr>
        <w:t xml:space="preserve">Participants calculate front-end and back-end for each case. Pairs first, then reveal. Use workbook page 6 as a model.</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4200"/>
        <w:gridCol w:w="1800"/>
        <w:gridCol w:w="1700"/>
        <w:gridCol w:w="16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Case</w:t>
            </w:r>
          </w:p>
        </w:tc>
        <w:tc>
          <w:tcPr>
            <w:tcW w:type="dxa" w:w="42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Facts</w:t>
            </w:r>
          </w:p>
        </w:tc>
        <w:tc>
          <w:tcPr>
            <w:tcW w:type="dxa" w:w="1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Front-end</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Back-end</w:t>
            </w:r>
          </w:p>
        </w:tc>
        <w:tc>
          <w:tcPr>
            <w:tcW w:type="dxa" w:w="16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Income $7,000; other debts $450; PITI $2,700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38.6%</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45.0%</w:t>
            </w:r>
          </w:p>
        </w:tc>
        <w:tc>
          <w:tcPr>
            <w:tcW w:type="dxa" w:w="16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Fine for conventional back-end. Fails the FHA 31% front-end unless compensating factors.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Income $5,500; other debts $600; PITI $1,650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30.0%</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40.9%</w:t>
            </w:r>
          </w:p>
        </w:tc>
        <w:tc>
          <w:tcPr>
            <w:tcW w:type="dxa" w:w="16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Under FHA 31% and 43%.</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4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Income $9,200; other debts $1,150; PITI $3,300</w:t>
            </w:r>
          </w:p>
        </w:tc>
        <w:tc>
          <w:tcPr>
            <w:tcW w:type="dxa" w:w="1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35.9%</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48.4%</w:t>
            </w:r>
          </w:p>
        </w:tc>
        <w:tc>
          <w:tcPr>
            <w:tcW w:type="dxa" w:w="16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Back-end is high. Which debt to target? See Activity 3.</w:t>
            </w:r>
          </w:p>
        </w:tc>
      </w:tr>
    </w:tbl>
    <w:p>
      <w:pPr>
        <w:spacing w:after="100" w:before="80"/>
      </w:pPr>
      <w:r>
        <w:rPr>
          <w:sz w:val="20"/>
          <w:szCs w:val="20"/>
        </w:rPr>
        <w:t xml:space="preserve">Check: 2,700 / 7,000 = 38.6%; (2,700 + 450) / 7,000 = 45.0%. 1,650 / 5,500 = 30.0%; (1,650 + 600) / 5,500 = 40.9%. 3,300 / 9,200 = 35.9%; (3,300 + 1,150) / 9,200 = 48.4%.</w:t>
      </w:r>
    </w:p>
    <w:p>
      <w:pPr>
        <w:pStyle w:val="Heading3"/>
        <w:keepNext/>
      </w:pPr>
      <w:r>
        <w:t xml:space="preserve">Activity 3: Which debt do you pay off? (10 minutes)</w:t>
      </w:r>
    </w:p>
    <w:p>
      <w:pPr>
        <w:spacing w:after="100" w:before="0"/>
      </w:pPr>
      <w:r>
        <w:rPr>
          <w:sz w:val="22"/>
          <w:szCs w:val="22"/>
        </w:rPr>
        <w:t xml:space="preserve">Borrower has $4,500 in cash for debt payoff and $7,000 monthly income. Two choices: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400"/>
        <w:gridCol w:w="3800"/>
        <w:gridCol w:w="3880"/>
      </w:tblGrid>
      <w:tr>
        <w:trPr>
          <w:tblHeader/>
        </w:trPr>
        <w:tc>
          <w:tcPr>
            <w:tcW w:type="dxa" w:w="24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Option</w:t>
            </w:r>
          </w:p>
        </w:tc>
        <w:tc>
          <w:tcPr>
            <w:tcW w:type="dxa" w:w="3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Payoff</w:t>
            </w:r>
          </w:p>
        </w:tc>
        <w:tc>
          <w:tcPr>
            <w:tcW w:type="dxa" w:w="3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Monthly payment removed</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Car loan</w:t>
            </w:r>
          </w:p>
        </w:tc>
        <w:tc>
          <w:tcPr>
            <w:tcW w:type="dxa" w:w="3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$4,400 balance, 8 months left</w:t>
            </w:r>
          </w:p>
        </w:tc>
        <w:tc>
          <w:tcPr>
            <w:tcW w:type="dxa" w:w="3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$550</w:t>
            </w:r>
          </w:p>
        </w:tc>
      </w:tr>
      <w:tr>
        <w:trPr>
          <w:cantSplit/>
        </w:trPr>
        <w:tc>
          <w:tcPr>
            <w:tcW w:type="dxa" w:w="24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 Four small debts</w:t>
            </w:r>
          </w:p>
        </w:tc>
        <w:tc>
          <w:tcPr>
            <w:tcW w:type="dxa" w:w="3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$900 + $1,100 + $700 + $1,000 = $3,700 total</w:t>
            </w:r>
          </w:p>
        </w:tc>
        <w:tc>
          <w:tcPr>
            <w:tcW w:type="dxa" w:w="3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$60 + $75 + $50 + $65 = $250</w:t>
            </w:r>
          </w:p>
        </w:tc>
      </w:tr>
    </w:tbl>
    <w:p>
      <w:pPr>
        <w:spacing w:after="100" w:before="100"/>
      </w:pPr>
      <w:r>
        <w:rPr>
          <w:sz w:val="22"/>
          <w:szCs w:val="22"/>
        </w:rPr>
        <w:t xml:space="preserve">Answer: A removes $550 for $4,400 (12.5 cents of payment per dollar paid). B removes $250 for $3,700 (6.8 cents). A cuts back-end DTI by about 7.9 points (550 / 7,000); B by about 3.6. Teach the payment-to-balance ratio. Add: the answer can change if the car loan is nearly done anyway or if a small debt has a high rate, so run the math.</w:t>
      </w:r>
    </w:p>
    <w:p>
      <w:pPr>
        <w:pStyle w:val="Heading3"/>
        <w:keepNext/>
      </w:pPr>
      <w:r>
        <w:t xml:space="preserve">Discussion questions</w:t>
      </w:r>
    </w:p>
    <w:p>
      <w:pPr>
        <w:pStyle w:val="ListParagraph"/>
        <w:numPr>
          <w:ilvl w:val="0"/>
          <w:numId w:val="3"/>
        </w:numPr>
        <w:spacing w:after="50"/>
      </w:pPr>
      <w:r>
        <w:rPr>
          <w:sz w:val="22"/>
          <w:szCs w:val="22"/>
        </w:rPr>
        <w:t xml:space="preserve">"A co-signed loan counts as your debt even if someone else pays it. Has anyone co-signed for someone?"</w:t>
      </w:r>
    </w:p>
    <w:p>
      <w:pPr>
        <w:pStyle w:val="ListParagraph"/>
        <w:numPr>
          <w:ilvl w:val="0"/>
          <w:numId w:val="3"/>
        </w:numPr>
        <w:spacing w:after="50"/>
      </w:pPr>
      <w:r>
        <w:rPr>
          <w:sz w:val="22"/>
          <w:szCs w:val="22"/>
        </w:rPr>
        <w:t xml:space="preserve">"Why might FHA qualify a borrower for a higher price than conventional in the example?"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Facilitator note</w:t>
            </w:r>
          </w:p>
          <w:p>
            <w:pPr>
              <w:spacing w:after="50"/>
            </w:pPr>
            <w:r>
              <w:rPr>
                <w:sz w:val="21"/>
                <w:szCs w:val="21"/>
              </w:rPr>
              <w:t xml:space="preserve">Avoid telling any participant which program they should choose. Use the example to show how the rules differ and send individual questions to a loan officer or counselor.</w:t>
            </w:r>
          </w:p>
        </w:tc>
      </w:tr>
    </w:tbl>
    <w:p>
      <w:r>
        <w:br w:type="page"/>
      </w:r>
    </w:p>
    <w:p>
      <w:pPr>
        <w:pStyle w:val="Heading2"/>
        <w:keepNext/>
      </w:pPr>
      <w:r>
        <w:t xml:space="preserve">Lesson 1.5: Building an Emergency Fund Before You Buy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25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25 to 27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Worksheet E: Emergency fund target (page 8)</w:t>
            </w:r>
          </w:p>
        </w:tc>
      </w:tr>
    </w:tbl>
    <w:p>
      <w:pPr>
        <w:spacing w:after="80"/>
      </w:pPr>
    </w:p>
    <w:p>
      <w:pPr>
        <w:pStyle w:val="Heading3"/>
        <w:keepNext/>
      </w:pPr>
      <w:r>
        <w:t xml:space="preserve">Key points</w:t>
      </w:r>
    </w:p>
    <w:p>
      <w:pPr>
        <w:pStyle w:val="ListParagraph"/>
        <w:numPr>
          <w:ilvl w:val="0"/>
          <w:numId w:val="3"/>
        </w:numPr>
        <w:spacing w:after="50"/>
      </w:pPr>
      <w:r>
        <w:rPr>
          <w:sz w:val="22"/>
          <w:szCs w:val="22"/>
        </w:rPr>
        <w:t xml:space="preserve">Renters facing a shock can downsize or move. A homeowner still owes the mortgage. Missed payments hit credit, and several missed payments lead toward foreclosure.</w:t>
      </w:r>
    </w:p>
    <w:p>
      <w:pPr>
        <w:pStyle w:val="ListParagraph"/>
        <w:numPr>
          <w:ilvl w:val="0"/>
          <w:numId w:val="3"/>
        </w:numPr>
        <w:spacing w:after="50"/>
      </w:pPr>
      <w:r>
        <w:rPr>
          <w:sz w:val="22"/>
          <w:szCs w:val="22"/>
        </w:rPr>
        <w:t xml:space="preserve">Homes create emergencies: water heater ($800 to $1,800), HVAC ($4,000 to $8,000), a roof after hail.</w:t>
      </w:r>
    </w:p>
    <w:p>
      <w:pPr>
        <w:pStyle w:val="ListParagraph"/>
        <w:numPr>
          <w:ilvl w:val="0"/>
          <w:numId w:val="3"/>
        </w:numPr>
        <w:spacing w:after="50"/>
      </w:pPr>
      <w:r>
        <w:rPr>
          <w:sz w:val="22"/>
          <w:szCs w:val="22"/>
        </w:rPr>
        <w:t xml:space="preserve">Standard advice is 3 to 6 months of living expenses. For a new homeowner: </w:t>
      </w:r>
      <w:r>
        <w:rPr>
          <w:b/>
          <w:bCs/>
          <w:sz w:val="22"/>
          <w:szCs w:val="22"/>
        </w:rPr>
        <w:t xml:space="preserve">3 to 6 months of PITI</w:t>
      </w:r>
      <w:r>
        <w:rPr>
          <w:sz w:val="22"/>
          <w:szCs w:val="22"/>
        </w:rPr>
        <w:t xml:space="preserve"> minimum, </w:t>
      </w:r>
      <w:r>
        <w:rPr>
          <w:b/>
          <w:bCs/>
          <w:sz w:val="22"/>
          <w:szCs w:val="22"/>
        </w:rPr>
        <w:t xml:space="preserve">plus</w:t>
      </w:r>
      <w:r>
        <w:rPr>
          <w:sz w:val="22"/>
          <w:szCs w:val="22"/>
        </w:rPr>
        <w:t xml:space="preserve"> a separate repair reserve of </w:t>
      </w:r>
      <w:r>
        <w:rPr>
          <w:b/>
          <w:bCs/>
          <w:sz w:val="22"/>
          <w:szCs w:val="22"/>
        </w:rPr>
        <w:t xml:space="preserve">1 to 2% of home value</w:t>
      </w:r>
      <w:r>
        <w:rPr>
          <w:sz w:val="22"/>
          <w:szCs w:val="22"/>
        </w:rPr>
        <w:t xml:space="preserve">. On a $350,000 home, that is $3,500 to $7,000.</w:t>
      </w:r>
    </w:p>
    <w:p>
      <w:pPr>
        <w:pStyle w:val="ListParagraph"/>
        <w:numPr>
          <w:ilvl w:val="0"/>
          <w:numId w:val="3"/>
        </w:numPr>
        <w:spacing w:after="50"/>
      </w:pPr>
      <w:r>
        <w:rPr>
          <w:sz w:val="22"/>
          <w:szCs w:val="22"/>
        </w:rPr>
        <w:t xml:space="preserve">Lenders may require reserves, expressed as months of PITI left after closing: 2 to 6 months for a primary residence depending on loan amount and program. That is a floor, not a target.</w:t>
      </w:r>
    </w:p>
    <w:p>
      <w:pPr>
        <w:pStyle w:val="ListParagraph"/>
        <w:numPr>
          <w:ilvl w:val="0"/>
          <w:numId w:val="3"/>
        </w:numPr>
        <w:spacing w:after="50"/>
      </w:pPr>
      <w:r>
        <w:rPr>
          <w:sz w:val="22"/>
          <w:szCs w:val="22"/>
        </w:rPr>
        <w:t xml:space="preserve">Keep the fund liquid: high-yield savings or money market, not stocks or a CD with penalties.</w:t>
      </w:r>
    </w:p>
    <w:p>
      <w:pPr>
        <w:pStyle w:val="ListParagraph"/>
        <w:numPr>
          <w:ilvl w:val="0"/>
          <w:numId w:val="3"/>
        </w:numPr>
        <w:spacing w:after="50"/>
      </w:pPr>
      <w:r>
        <w:rPr>
          <w:sz w:val="22"/>
          <w:szCs w:val="22"/>
        </w:rPr>
        <w:t xml:space="preserve">Lenders verify the source of every dollar and pull two months of bank statements. Cash at home ("mattress money") has no paper trail and usually will not count. Deposit it at a bank or credit union at least 3 to 4 months before applying so it can season.</w:t>
      </w:r>
    </w:p>
    <w:p>
      <w:pPr>
        <w:pStyle w:val="ListParagraph"/>
        <w:numPr>
          <w:ilvl w:val="0"/>
          <w:numId w:val="3"/>
        </w:numPr>
        <w:spacing w:after="50"/>
      </w:pPr>
      <w:r>
        <w:rPr>
          <w:sz w:val="22"/>
          <w:szCs w:val="22"/>
        </w:rPr>
        <w:t xml:space="preserve">Do not drain the emergency fund to hit a bigger down payment. A smaller down payment with a cushion is usually stronger than a bigger one with none.</w:t>
      </w:r>
    </w:p>
    <w:p>
      <w:pPr>
        <w:pStyle w:val="Heading3"/>
        <w:keepNext/>
      </w:pPr>
      <w:r>
        <w:t xml:space="preserve">Talk track</w:t>
      </w:r>
    </w:p>
    <w:p>
      <w:pPr>
        <w:spacing w:after="100" w:before="0"/>
      </w:pPr>
      <w:r>
        <w:rPr>
          <w:i/>
          <w:iCs/>
          <w:sz w:val="22"/>
          <w:szCs w:val="22"/>
        </w:rPr>
        <w:t xml:space="preserve">"Renters call the landlord. Homeowners write the check. Plan for the check."</w:t>
      </w:r>
    </w:p>
    <w:p>
      <w:pPr>
        <w:pStyle w:val="Heading3"/>
        <w:keepNext/>
      </w:pPr>
      <w:r>
        <w:t xml:space="preserve">Activity: Build your target (10 minutes)</w:t>
      </w:r>
    </w:p>
    <w:p>
      <w:pPr>
        <w:spacing w:after="100" w:before="0"/>
      </w:pPr>
      <w:r>
        <w:rPr>
          <w:sz w:val="22"/>
          <w:szCs w:val="22"/>
        </w:rPr>
        <w:t xml:space="preserve">Use workbook page 8. Work the example together first.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Example: PITI $2,200; home value $350,000</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Low</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High</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Emergency fund (3 to 6 months of PITI)</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$6,600</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$13,200</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Repair reserve (1% to 2% of home value)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$3,500</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$7,000</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Total target</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$10,100</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$20,200</w:t>
            </w:r>
          </w:p>
        </w:tc>
      </w:tr>
    </w:tbl>
    <w:p>
      <w:pPr>
        <w:spacing w:after="100" w:before="100"/>
      </w:pPr>
      <w:r>
        <w:rPr>
          <w:sz w:val="22"/>
          <w:szCs w:val="22"/>
        </w:rPr>
        <w:t xml:space="preserve">Then ask participants to complete their own numbers and write a monthly savings amount and a rough number of months to reach the target.</w:t>
      </w:r>
    </w:p>
    <w:p>
      <w:pPr>
        <w:pStyle w:val="Heading3"/>
        <w:keepNext/>
      </w:pPr>
      <w:r>
        <w:t xml:space="preserve">Discussion questions</w:t>
      </w:r>
    </w:p>
    <w:p>
      <w:pPr>
        <w:pStyle w:val="ListParagraph"/>
        <w:numPr>
          <w:ilvl w:val="0"/>
          <w:numId w:val="3"/>
        </w:numPr>
        <w:spacing w:after="50"/>
      </w:pPr>
      <w:r>
        <w:rPr>
          <w:sz w:val="22"/>
          <w:szCs w:val="22"/>
        </w:rPr>
        <w:t xml:space="preserve">"Where is your emergency money kept today? Could a lender trace it?"</w:t>
      </w:r>
    </w:p>
    <w:p>
      <w:pPr>
        <w:pStyle w:val="ListParagraph"/>
        <w:numPr>
          <w:ilvl w:val="0"/>
          <w:numId w:val="3"/>
        </w:numPr>
        <w:spacing w:after="50"/>
      </w:pPr>
      <w:r>
        <w:rPr>
          <w:sz w:val="22"/>
          <w:szCs w:val="22"/>
        </w:rPr>
        <w:t xml:space="preserve">"What would you do first if you had to choose between a bigger down payment and a bigger cushion?"</w:t>
      </w:r>
    </w:p>
    <w:p>
      <w:r>
        <w:br w:type="page"/>
      </w:r>
    </w:p>
    <w:p>
      <w:pPr>
        <w:pStyle w:val="Heading2"/>
        <w:keepNext/>
      </w:pPr>
      <w:r>
        <w:t xml:space="preserve">Self-assessment quiz (10 minutes)</w:t>
      </w:r>
    </w:p>
    <w:p>
      <w:pPr>
        <w:spacing w:after="100" w:before="0"/>
      </w:pPr>
      <w:r>
        <w:rPr>
          <w:sz w:val="22"/>
          <w:szCs w:val="22"/>
        </w:rPr>
        <w:t xml:space="preserve">Participants answer on workbook page 9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1000"/>
        <w:gridCol w:w="83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83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Why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Payment history is the largest factor at 35%.</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Paying down balances lowers utilization, the most responsive factor. Closing cards or opening new ones usually hurts.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Lenders typically use the middle of the three bureau scores.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FHA and USDA have front-end limits. Conventional uses back-end only.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Mortgage inquiries within a short window count as a single inquiry.</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About one in five consumers has an error, per FTC research.</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w:t>
            </w:r>
          </w:p>
        </w:tc>
        <w:tc>
          <w:tcPr>
            <w:tcW w:type="dxa" w:w="83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 to 6 months of PITI plus a separate maintenance reserve of 1 to 2% of home value.</w:t>
            </w:r>
          </w:p>
        </w:tc>
      </w:tr>
    </w:tbl>
    <w:p>
      <w:pPr>
        <w:spacing w:after="80"/>
      </w:pPr>
    </w:p>
    <w:p>
      <w:pPr>
        <w:pStyle w:val="Heading2"/>
        <w:keepNext/>
      </w:pPr>
      <w:r>
        <w:t xml:space="preserve">Action plan and wrap-up (15 minutes)</w:t>
      </w:r>
    </w:p>
    <w:p>
      <w:pPr>
        <w:pStyle w:val="ListParagraph"/>
        <w:numPr>
          <w:ilvl w:val="0"/>
          <w:numId w:val="6"/>
        </w:numPr>
        <w:spacing w:after="60"/>
      </w:pPr>
      <w:r>
        <w:rPr>
          <w:sz w:val="22"/>
          <w:szCs w:val="22"/>
        </w:rPr>
        <w:t xml:space="preserve">Have participants complete the 30-60-90 day action plan on workbook page 10. Ask each to pick the one action they will do this week and say it to a neighbor.</w:t>
      </w:r>
    </w:p>
    <w:p>
      <w:pPr>
        <w:pStyle w:val="ListParagraph"/>
        <w:numPr>
          <w:ilvl w:val="0"/>
          <w:numId w:val="6"/>
        </w:numPr>
        <w:spacing w:after="60"/>
      </w:pPr>
      <w:r>
        <w:rPr>
          <w:sz w:val="22"/>
          <w:szCs w:val="22"/>
        </w:rPr>
        <w:t xml:space="preserve">Offer individual counseling. Share local HUD-approved housing counseling agency contacts.</w:t>
      </w:r>
    </w:p>
    <w:p>
      <w:pPr>
        <w:pStyle w:val="ListParagraph"/>
        <w:numPr>
          <w:ilvl w:val="0"/>
          <w:numId w:val="6"/>
        </w:numPr>
        <w:spacing w:after="60"/>
      </w:pPr>
      <w:r>
        <w:rPr>
          <w:sz w:val="22"/>
          <w:szCs w:val="22"/>
        </w:rPr>
        <w:t xml:space="preserve">Hand out evaluation forms (Appendix C). Collect them before people leave.</w:t>
      </w:r>
    </w:p>
    <w:p>
      <w:pPr>
        <w:pStyle w:val="ListParagraph"/>
        <w:numPr>
          <w:ilvl w:val="0"/>
          <w:numId w:val="6"/>
        </w:numPr>
        <w:spacing w:after="60"/>
      </w:pPr>
      <w:r>
        <w:rPr>
          <w:sz w:val="22"/>
          <w:szCs w:val="22"/>
        </w:rPr>
        <w:t xml:space="preserve">Issue certificates of completion if your agency does so (Appendix D).</w:t>
      </w:r>
    </w:p>
    <w:p>
      <w:pPr>
        <w:pStyle w:val="ListParagraph"/>
        <w:numPr>
          <w:ilvl w:val="0"/>
          <w:numId w:val="6"/>
        </w:numPr>
        <w:spacing w:after="60"/>
      </w:pPr>
      <w:r>
        <w:rPr>
          <w:sz w:val="22"/>
          <w:szCs w:val="22"/>
        </w:rPr>
        <w:t xml:space="preserve">Preview the next module: Saving for Homeownership. Point to the free calculators and the Learn pages at yourmortgagetoolbox.com.</w:t>
      </w:r>
    </w:p>
    <w:p>
      <w:pPr>
        <w:pStyle w:val="ListParagraph"/>
        <w:numPr>
          <w:ilvl w:val="0"/>
          <w:numId w:val="6"/>
        </w:numPr>
        <w:spacing w:after="60"/>
      </w:pPr>
      <w:r>
        <w:rPr>
          <w:sz w:val="22"/>
          <w:szCs w:val="22"/>
        </w:rPr>
        <w:t xml:space="preserve">Thank participants and remind them about follow-up resources.</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Have you checked your credit report in the last year?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Yes, all three   ☐ Yes, one   ☐ No</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credit scores?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The National Industry Standards suggest recording the following for education clients.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Pre-purchase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1,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credit, DTI and reserves.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 for improving my credit.</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how to calculate my debt-to-income ratio.</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1: Understanding Your Financial Foundation</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 on page 3</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F: Sample credit report exercise (fictional)</w:t>
      </w:r>
    </w:p>
    <w:p>
      <w:pPr>
        <w:spacing w:after="100" w:before="0"/>
      </w:pPr>
      <w:r>
        <w:rPr>
          <w:sz w:val="22"/>
          <w:szCs w:val="22"/>
        </w:rPr>
        <w:t xml:space="preserve">All names and accounts are made up. Copy this page for participants. Tell them: "Jordan has told us the following. Circle anything that looks wrong."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6F6F6" w:color="auto" w:val="clear"/>
            <w:tcMar>
              <w:top w:type="dxa" w:w="100"/>
              <w:left w:type="dxa" w:w="180"/>
              <w:bottom w:type="dxa" w:w="100"/>
              <w:right w:type="dxa" w:w="140"/>
            </w:tcMar>
          </w:tcPr>
          <w:p>
            <w:pPr>
              <w:spacing w:after="60"/>
            </w:pPr>
            <w:r>
              <w:rPr>
                <w:b/>
                <w:bCs/>
                <w:color w:val="990000"/>
                <w:sz w:val="21"/>
                <w:szCs w:val="21"/>
              </w:rPr>
              <w:t xml:space="preserve">What Jordan says</w:t>
            </w:r>
          </w:p>
          <w:p>
            <w:pPr>
              <w:spacing w:after="50"/>
            </w:pPr>
            <w:r>
              <w:rPr>
                <w:sz w:val="21"/>
                <w:szCs w:val="21"/>
              </w:rPr>
              <w:t xml:space="preserve">I never closed my Northgate Retail Card. I use it. I have never had a Brightway Mobile account. I paid my Cedar Bank Mastercard on time in March 2025 and have the bank statement. I have never lived at 1900 Harbor St. I did not apply for a loan at Rapid Auto Sales.</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00"/>
        <w:gridCol w:w="1700"/>
        <w:gridCol w:w="1500"/>
        <w:gridCol w:w="1500"/>
        <w:gridCol w:w="2880"/>
      </w:tblGrid>
      <w:tr>
        <w:trPr>
          <w:tblHeader/>
        </w:trPr>
        <w:tc>
          <w:tcPr>
            <w:tcW w:type="dxa" w:w="2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Account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Opened</w:t>
            </w:r>
          </w:p>
        </w:tc>
        <w:tc>
          <w:tcPr>
            <w:tcW w:type="dxa" w:w="1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Limit or amount</w:t>
            </w:r>
          </w:p>
        </w:tc>
        <w:tc>
          <w:tcPr>
            <w:tcW w:type="dxa" w:w="1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Balance</w:t>
            </w:r>
          </w:p>
        </w:tc>
        <w:tc>
          <w:tcPr>
            <w:tcW w:type="dxa" w:w="2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Status</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Hartwell Bank Visa</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2016</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$6,000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$5,100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Open, paid as agreed</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Summit CU Auto Loan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2021</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$18,000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Closed, paid in full</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Northgate Retail Card</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2018</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CLOSED</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Lakeshore Student Loan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2017</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$14,200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$14,200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Open, paid as agreed (listed once)</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Lakeshore Student Loan</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2017</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$14,200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$14,200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Open, paid as agreed (listed again)</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Brightway Mobile</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Collection 2024</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$312</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$312</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Collection, unpaid</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Cedar Bank Mastercard</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2019</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$3,000</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$600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 days late, March 2025</w:t>
            </w:r>
          </w:p>
        </w:tc>
      </w:tr>
      <w:tr>
        <w:trPr>
          <w:cantSplit/>
        </w:trPr>
        <w:tc>
          <w:tcPr>
            <w:tcW w:type="dxa" w:w="2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Eastside Utilities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First delinquency 2017</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$288</w:t>
            </w:r>
          </w:p>
        </w:tc>
        <w:tc>
          <w:tcPr>
            <w:tcW w:type="dxa" w:w="1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$0</w:t>
            </w:r>
          </w:p>
        </w:tc>
        <w:tc>
          <w:tcPr>
            <w:tcW w:type="dxa" w:w="2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Collection, paid</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Personal information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Inquiries in the last 12 months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Jordan A. Rivera. Addresses: 412 Oak Lane (current), 88 Pine Court (previous), 1900 Harbor St.</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Three mortgage lenders within 14 days. Rapid Auto Sales (one inquiry).</w:t>
            </w:r>
          </w:p>
        </w:tc>
      </w:tr>
    </w:tbl>
    <w:p>
      <w:pPr>
        <w:pStyle w:val="Heading3"/>
        <w:keepNext/>
      </w:pPr>
      <w:r>
        <w:t xml:space="preserve">Answer key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00"/>
        <w:gridCol w:w="6880"/>
      </w:tblGrid>
      <w:tr>
        <w:trPr>
          <w:tblHeader/>
        </w:trPr>
        <w:tc>
          <w:tcPr>
            <w:tcW w:type="dxa" w:w="32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Item</w:t>
            </w:r>
          </w:p>
        </w:tc>
        <w:tc>
          <w:tcPr>
            <w:tcW w:type="dxa" w:w="68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What to say</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Northgate Retail Card shown as closed</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Error. A closed status removes available credit and can shorten history. Dispute with the bureau showing it; provide recent statements.</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Lakeshore Student Loan listed twice</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Duplicate. Dispute the duplicate entry. It inflates apparent debt.</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Brightway Mobile collection</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Jordan's account, so possible identity theft or file mixing. Dispute and consider a fraud alert.</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Cedar Bank Mastercard 30-day late</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Error, since Jordan has a bank statement. Dispute with documentation.</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Eastside Utilities collection from 2017</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Negative items generally should fall off after seven years. Dispute its continued reporting.</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1900 Harbor St address</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Jordan's. May indicate file mixing or identity theft. Dispute.</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Rapid Auto Sales inquiry</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Jordan's. Dispute as unauthorized.</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Hartwell Bank Visa at 85%</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an error. Accurate but high. Candidate for a utilization paydown, not a dispute.</w:t>
            </w:r>
          </w:p>
        </w:tc>
      </w:tr>
      <w:tr>
        <w:trPr>
          <w:cantSplit/>
        </w:trPr>
        <w:tc>
          <w:tcPr>
            <w:tcW w:type="dxa" w:w="32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Three mortgage inquiries in 14 days</w:t>
            </w:r>
          </w:p>
        </w:tc>
        <w:tc>
          <w:tcPr>
            <w:tcW w:type="dxa" w:w="6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Not an error. Rate shopping, treated as a single inquiry.</w:t>
            </w:r>
          </w:p>
        </w:tc>
      </w:tr>
    </w:tbl>
    <w:p>
      <w:r>
        <w:br w:type="page"/>
      </w:r>
    </w:p>
    <w:p>
      <w:pPr>
        <w:pStyle w:val="Heading1"/>
        <w:keepNext/>
      </w:pPr>
      <w:r>
        <w:t xml:space="preserve">Appendix G: Workbook worked examples</w:t>
      </w:r>
    </w:p>
    <w:p>
      <w:pPr>
        <w:spacing w:after="100" w:before="0"/>
      </w:pPr>
      <w:r>
        <w:rPr>
          <w:sz w:val="22"/>
          <w:szCs w:val="22"/>
        </w:rPr>
        <w:t xml:space="preserve">Use these to check participants' work or to demonstrate each worksheet.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rPr>
          <w:tblHeader/>
        </w:trPr>
        <w:tc>
          <w:tcPr>
            <w:tcW w:type="dxa" w:w="2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Worksheet</w:t>
            </w:r>
          </w:p>
        </w:tc>
        <w:tc>
          <w:tcPr>
            <w:tcW w:type="dxa" w:w="7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Worked example</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 Score snapshot</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Scores 702 / 688 / 715. Middle score 702. Open, active accounts: 4. Oldest open account: 7 years. Usable.</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C. Utilization</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See the three-card table in Lesson 1.3. Total 65% utilization; $2,100 gets each card to 50%.</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D. DTI</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Income $7,000; debts $450; PITI $2,700. Front-end 38.6%. Back-end 45.0%.</w:t>
            </w:r>
          </w:p>
        </w:tc>
      </w:tr>
      <w:tr>
        <w:trPr>
          <w:cantSplit/>
        </w:trPr>
        <w:tc>
          <w:tcPr>
            <w:tcW w:type="dxa" w:w="28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E. Emergency fund</w:t>
            </w:r>
          </w:p>
        </w:tc>
        <w:tc>
          <w:tcPr>
            <w:tcW w:type="dxa" w:w="7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PITI $2,200; home $350,000. Emergency fund $6,600 to $13,200. Repair reserve $3,500 to $7,000. Total target $10,100 to $20,200.</w:t>
            </w:r>
          </w:p>
        </w:tc>
      </w:tr>
    </w:tbl>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Medical debt reporting rules and bureau practices (the status described here is as of the module text)</w:t>
      </w:r>
    </w:p>
    <w:p>
      <w:pPr>
        <w:spacing w:after="50"/>
      </w:pPr>
      <w:r>
        <w:rPr>
          <w:sz w:val="22"/>
          <w:szCs w:val="22"/>
        </w:rPr>
        <w:t xml:space="preserve">☐  Credit score models mortgage lenders use for each loan program</w:t>
      </w:r>
    </w:p>
    <w:p>
      <w:pPr>
        <w:spacing w:after="50"/>
      </w:pPr>
      <w:r>
        <w:rPr>
          <w:sz w:val="22"/>
          <w:szCs w:val="22"/>
        </w:rPr>
        <w:t xml:space="preserve">☐  FHA, USDA, VA and conventional front-end and back-end ratio guidance</w:t>
      </w:r>
    </w:p>
    <w:p>
      <w:pPr>
        <w:spacing w:after="50"/>
      </w:pPr>
      <w:r>
        <w:rPr>
          <w:sz w:val="22"/>
          <w:szCs w:val="22"/>
        </w:rPr>
        <w:t xml:space="preserve">☐  Current mortgage rate used in the Pre-Qualification Calculator example</w:t>
      </w:r>
    </w:p>
    <w:p>
      <w:pPr>
        <w:spacing w:after="50"/>
      </w:pPr>
      <w:r>
        <w:rPr>
          <w:sz w:val="22"/>
          <w:szCs w:val="22"/>
        </w:rPr>
        <w:t xml:space="preserve">☐  AnnualCreditReport.com free report access and any weekly access changes</w:t>
      </w:r>
    </w:p>
    <w:p>
      <w:pPr>
        <w:spacing w:after="50"/>
      </w:pPr>
      <w:r>
        <w:rPr>
          <w:sz w:val="22"/>
          <w:szCs w:val="22"/>
        </w:rPr>
        <w:t xml:space="preserve">☐  Local HUD-approved housing counseling agency contact list</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pre-purchase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1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6"/>
    <w:lvlOverride w:ilvl="0">
      <w:startOverride w:val="1"/>
    </w:lvlOverride>
  </w:num>
  <w:num w:numId="6">
    <w:abstractNumId w:val="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1 Facilitator Guide</dc:title>
  <dc:creator>Your Mortgage Toolbox</dc:creator>
  <cp:lastModifiedBy>Un-named</cp:lastModifiedBy>
  <cp:revision>1</cp:revision>
  <dcterms:created xsi:type="dcterms:W3CDTF">2026-10-06T01:32:55.826Z</dcterms:created>
  <dcterms:modified xsi:type="dcterms:W3CDTF">2026-10-06T01:32:55.826Z</dcterms:modified>
</cp:coreProperties>
</file>

<file path=docProps/custom.xml><?xml version="1.0" encoding="utf-8"?>
<Properties xmlns="http://schemas.openxmlformats.org/officeDocument/2006/custom-properties" xmlns:vt="http://schemas.openxmlformats.org/officeDocument/2006/docPropsVTypes"/>
</file>